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19C4" w:rsidRPr="007509CF" w:rsidRDefault="00DA7932" w:rsidP="004C5C42">
      <w:pPr>
        <w:pStyle w:val="CBOLDCAPSAshurst"/>
        <w:spacing w:after="0" w:line="276" w:lineRule="auto"/>
        <w:outlineLvl w:val="0"/>
        <w:rPr>
          <w:rFonts w:ascii="Times New Roman" w:hAnsi="Times New Roman"/>
          <w:sz w:val="20"/>
          <w:u w:val="single"/>
        </w:rPr>
      </w:pPr>
      <w:r w:rsidRPr="007509CF">
        <w:rPr>
          <w:rFonts w:ascii="Times New Roman" w:hAnsi="Times New Roman"/>
          <w:sz w:val="20"/>
          <w:u w:val="single"/>
        </w:rPr>
        <w:t>CHAPTER</w:t>
      </w:r>
      <w:r w:rsidR="00DD0409" w:rsidRPr="007509CF">
        <w:rPr>
          <w:rFonts w:ascii="Times New Roman" w:hAnsi="Times New Roman"/>
          <w:sz w:val="20"/>
          <w:u w:val="single"/>
        </w:rPr>
        <w:t xml:space="preserve"> template</w:t>
      </w:r>
    </w:p>
    <w:p w:rsidR="00C619C4" w:rsidRPr="007509CF" w:rsidRDefault="00C619C4" w:rsidP="00BE671E">
      <w:pPr>
        <w:pStyle w:val="CBOLDCAPSAshurst"/>
        <w:spacing w:after="0" w:line="276" w:lineRule="auto"/>
        <w:rPr>
          <w:rFonts w:ascii="Times New Roman" w:hAnsi="Times New Roman"/>
          <w:sz w:val="20"/>
        </w:rPr>
      </w:pPr>
    </w:p>
    <w:p w:rsidR="00C619C4" w:rsidRPr="007509CF" w:rsidRDefault="00C619C4" w:rsidP="004C5C42">
      <w:pPr>
        <w:spacing w:line="276" w:lineRule="auto"/>
        <w:outlineLvl w:val="0"/>
        <w:rPr>
          <w:rFonts w:ascii="Times New Roman" w:hAnsi="Times New Roman"/>
          <w:b/>
          <w:sz w:val="20"/>
          <w:szCs w:val="20"/>
          <w:u w:val="single"/>
        </w:rPr>
      </w:pPr>
      <w:r w:rsidRPr="007509CF">
        <w:rPr>
          <w:rFonts w:ascii="Times New Roman" w:hAnsi="Times New Roman"/>
          <w:b/>
          <w:sz w:val="20"/>
          <w:szCs w:val="20"/>
          <w:u w:val="single"/>
        </w:rPr>
        <w:t>SUMMARY INFORMATION</w:t>
      </w:r>
    </w:p>
    <w:p w:rsidR="00173681" w:rsidRPr="007509CF" w:rsidRDefault="00173681" w:rsidP="00BE671E">
      <w:pPr>
        <w:spacing w:line="276" w:lineRule="auto"/>
        <w:rPr>
          <w:rFonts w:ascii="Times New Roman" w:hAnsi="Times New Roman"/>
          <w:sz w:val="20"/>
          <w:szCs w:val="20"/>
        </w:rPr>
      </w:pPr>
    </w:p>
    <w:p w:rsidR="00C619C4" w:rsidRPr="007509CF" w:rsidRDefault="00C619C4" w:rsidP="00BE671E">
      <w:pPr>
        <w:spacing w:line="276" w:lineRule="auto"/>
        <w:rPr>
          <w:rFonts w:ascii="Times New Roman" w:hAnsi="Times New Roman"/>
          <w:sz w:val="20"/>
          <w:szCs w:val="20"/>
        </w:rPr>
      </w:pPr>
      <w:r w:rsidRPr="007509CF">
        <w:rPr>
          <w:rFonts w:ascii="Times New Roman" w:hAnsi="Times New Roman"/>
          <w:sz w:val="20"/>
          <w:szCs w:val="20"/>
        </w:rPr>
        <w:t>Please enter the following information:</w:t>
      </w:r>
    </w:p>
    <w:p w:rsidR="00C619C4" w:rsidRPr="007509CF" w:rsidRDefault="00C619C4" w:rsidP="00BE671E">
      <w:pPr>
        <w:spacing w:line="276" w:lineRule="auto"/>
        <w:rPr>
          <w:rFonts w:ascii="Times New Roman" w:hAnsi="Times New Roman"/>
          <w:sz w:val="20"/>
          <w:szCs w:val="20"/>
        </w:rPr>
      </w:pPr>
    </w:p>
    <w:p w:rsidR="00C619C4" w:rsidRPr="007509CF" w:rsidRDefault="00C619C4" w:rsidP="004C5C42">
      <w:pPr>
        <w:spacing w:line="276" w:lineRule="auto"/>
        <w:outlineLvl w:val="0"/>
        <w:rPr>
          <w:rFonts w:ascii="Times New Roman" w:hAnsi="Times New Roman"/>
          <w:sz w:val="20"/>
          <w:szCs w:val="20"/>
        </w:rPr>
      </w:pPr>
      <w:r w:rsidRPr="007509CF">
        <w:rPr>
          <w:rFonts w:ascii="Times New Roman" w:hAnsi="Times New Roman"/>
          <w:sz w:val="20"/>
          <w:szCs w:val="20"/>
        </w:rPr>
        <w:t xml:space="preserve">Law Firm: </w:t>
      </w:r>
      <w:r w:rsidR="00C11427" w:rsidRPr="007509CF">
        <w:rPr>
          <w:rFonts w:ascii="Times New Roman" w:hAnsi="Times New Roman"/>
          <w:sz w:val="20"/>
          <w:szCs w:val="20"/>
        </w:rPr>
        <w:t>Travers Thorp Alberga</w:t>
      </w:r>
    </w:p>
    <w:p w:rsidR="00C619C4" w:rsidRPr="007509CF" w:rsidRDefault="00C619C4" w:rsidP="00BE671E">
      <w:pPr>
        <w:spacing w:line="276" w:lineRule="auto"/>
        <w:rPr>
          <w:rFonts w:ascii="Times New Roman" w:hAnsi="Times New Roman"/>
          <w:sz w:val="20"/>
          <w:szCs w:val="20"/>
        </w:rPr>
      </w:pPr>
      <w:r w:rsidRPr="007509CF">
        <w:rPr>
          <w:rFonts w:ascii="Times New Roman" w:hAnsi="Times New Roman"/>
          <w:sz w:val="20"/>
          <w:szCs w:val="20"/>
        </w:rPr>
        <w:t xml:space="preserve">Country: </w:t>
      </w:r>
      <w:r w:rsidR="00C11427" w:rsidRPr="007509CF">
        <w:rPr>
          <w:rFonts w:ascii="Times New Roman" w:hAnsi="Times New Roman"/>
          <w:sz w:val="20"/>
          <w:szCs w:val="20"/>
        </w:rPr>
        <w:t>Cayman Islands</w:t>
      </w:r>
    </w:p>
    <w:p w:rsidR="00C619C4" w:rsidRPr="007509CF" w:rsidRDefault="00C619C4" w:rsidP="00BE671E">
      <w:pPr>
        <w:spacing w:line="276" w:lineRule="auto"/>
        <w:rPr>
          <w:rFonts w:ascii="Times New Roman" w:hAnsi="Times New Roman"/>
          <w:sz w:val="20"/>
          <w:szCs w:val="20"/>
        </w:rPr>
      </w:pPr>
      <w:bookmarkStart w:id="0" w:name="_DV_M2"/>
      <w:bookmarkEnd w:id="0"/>
      <w:r w:rsidRPr="007509CF">
        <w:rPr>
          <w:rFonts w:ascii="Times New Roman" w:hAnsi="Times New Roman"/>
          <w:sz w:val="20"/>
          <w:szCs w:val="20"/>
        </w:rPr>
        <w:t xml:space="preserve">Address: </w:t>
      </w:r>
      <w:r w:rsidR="00C11427" w:rsidRPr="007509CF">
        <w:rPr>
          <w:rFonts w:ascii="Times New Roman" w:hAnsi="Times New Roman"/>
          <w:sz w:val="20"/>
          <w:szCs w:val="20"/>
        </w:rPr>
        <w:t>103 S. Church St., Harbour Place, George Town, PO Box 472, Grand Cayman, KY1-1106</w:t>
      </w:r>
    </w:p>
    <w:p w:rsidR="00C619C4" w:rsidRPr="007509CF" w:rsidRDefault="00C619C4" w:rsidP="00BE671E">
      <w:pPr>
        <w:tabs>
          <w:tab w:val="left" w:pos="720"/>
        </w:tabs>
        <w:spacing w:line="276" w:lineRule="auto"/>
        <w:rPr>
          <w:rFonts w:ascii="Times New Roman" w:hAnsi="Times New Roman"/>
          <w:sz w:val="20"/>
          <w:szCs w:val="20"/>
        </w:rPr>
      </w:pPr>
      <w:bookmarkStart w:id="1" w:name="_DV_M6"/>
      <w:bookmarkEnd w:id="1"/>
      <w:r w:rsidRPr="007509CF">
        <w:rPr>
          <w:rFonts w:ascii="Times New Roman" w:hAnsi="Times New Roman"/>
          <w:sz w:val="20"/>
          <w:szCs w:val="20"/>
        </w:rPr>
        <w:t>Tel:</w:t>
      </w:r>
      <w:r w:rsidRPr="007509CF">
        <w:rPr>
          <w:rFonts w:ascii="Times New Roman" w:hAnsi="Times New Roman"/>
          <w:sz w:val="20"/>
          <w:szCs w:val="20"/>
        </w:rPr>
        <w:tab/>
        <w:t>+</w:t>
      </w:r>
      <w:r w:rsidR="00C11427" w:rsidRPr="007509CF">
        <w:rPr>
          <w:rFonts w:ascii="Times New Roman" w:hAnsi="Times New Roman"/>
          <w:sz w:val="20"/>
          <w:szCs w:val="20"/>
        </w:rPr>
        <w:t>1 (345) 949 0699</w:t>
      </w:r>
    </w:p>
    <w:p w:rsidR="00C619C4" w:rsidRPr="007509CF" w:rsidRDefault="00C619C4" w:rsidP="00BE671E">
      <w:pPr>
        <w:tabs>
          <w:tab w:val="left" w:pos="720"/>
        </w:tabs>
        <w:spacing w:line="276" w:lineRule="auto"/>
        <w:rPr>
          <w:rFonts w:ascii="Times New Roman" w:hAnsi="Times New Roman"/>
          <w:sz w:val="20"/>
          <w:szCs w:val="20"/>
        </w:rPr>
      </w:pPr>
      <w:r w:rsidRPr="007509CF">
        <w:rPr>
          <w:rFonts w:ascii="Times New Roman" w:hAnsi="Times New Roman"/>
          <w:sz w:val="20"/>
          <w:szCs w:val="20"/>
        </w:rPr>
        <w:t>Fax:</w:t>
      </w:r>
      <w:r w:rsidRPr="007509CF">
        <w:rPr>
          <w:rFonts w:ascii="Times New Roman" w:hAnsi="Times New Roman"/>
          <w:sz w:val="20"/>
          <w:szCs w:val="20"/>
        </w:rPr>
        <w:tab/>
      </w:r>
      <w:bookmarkStart w:id="2" w:name="_DV_M7"/>
      <w:bookmarkEnd w:id="2"/>
      <w:r w:rsidRPr="007509CF">
        <w:rPr>
          <w:rFonts w:ascii="Times New Roman" w:hAnsi="Times New Roman"/>
          <w:sz w:val="20"/>
          <w:szCs w:val="20"/>
        </w:rPr>
        <w:t>+</w:t>
      </w:r>
      <w:r w:rsidR="00C11427" w:rsidRPr="007509CF">
        <w:rPr>
          <w:rFonts w:ascii="Times New Roman" w:hAnsi="Times New Roman"/>
          <w:sz w:val="20"/>
          <w:szCs w:val="20"/>
        </w:rPr>
        <w:t>1 (345) 949 8171</w:t>
      </w:r>
    </w:p>
    <w:p w:rsidR="00C619C4" w:rsidRPr="007509CF" w:rsidRDefault="00C619C4" w:rsidP="00BE671E">
      <w:pPr>
        <w:spacing w:line="276" w:lineRule="auto"/>
        <w:rPr>
          <w:rFonts w:ascii="Times New Roman" w:hAnsi="Times New Roman"/>
          <w:sz w:val="20"/>
          <w:szCs w:val="20"/>
        </w:rPr>
      </w:pPr>
      <w:bookmarkStart w:id="3" w:name="_DV_M8"/>
      <w:bookmarkEnd w:id="3"/>
      <w:r w:rsidRPr="007509CF">
        <w:rPr>
          <w:rFonts w:ascii="Times New Roman" w:hAnsi="Times New Roman"/>
          <w:sz w:val="20"/>
          <w:szCs w:val="20"/>
        </w:rPr>
        <w:t>URL:</w:t>
      </w:r>
      <w:r w:rsidRPr="007509CF">
        <w:rPr>
          <w:rFonts w:ascii="Times New Roman" w:hAnsi="Times New Roman"/>
          <w:sz w:val="20"/>
          <w:szCs w:val="20"/>
        </w:rPr>
        <w:tab/>
      </w:r>
      <w:r w:rsidR="00C11427" w:rsidRPr="007509CF">
        <w:rPr>
          <w:rFonts w:ascii="Times New Roman" w:hAnsi="Times New Roman"/>
          <w:sz w:val="20"/>
          <w:szCs w:val="20"/>
        </w:rPr>
        <w:t>http://www.traversthorpalberga.com</w:t>
      </w:r>
    </w:p>
    <w:p w:rsidR="00C619C4" w:rsidRPr="007509CF" w:rsidRDefault="00C619C4" w:rsidP="00BE671E">
      <w:pPr>
        <w:pStyle w:val="Outline1"/>
        <w:numPr>
          <w:ilvl w:val="0"/>
          <w:numId w:val="0"/>
        </w:numPr>
        <w:spacing w:before="0" w:after="0" w:line="276" w:lineRule="auto"/>
        <w:rPr>
          <w:sz w:val="20"/>
        </w:rPr>
      </w:pPr>
      <w:bookmarkStart w:id="4" w:name="_DV_M9"/>
      <w:bookmarkStart w:id="5" w:name="_DV_M10"/>
      <w:bookmarkEnd w:id="4"/>
      <w:bookmarkEnd w:id="5"/>
    </w:p>
    <w:p w:rsidR="00C619C4" w:rsidRPr="007509CF" w:rsidRDefault="00C619C4" w:rsidP="004C5C42">
      <w:pPr>
        <w:spacing w:line="276" w:lineRule="auto"/>
        <w:outlineLvl w:val="0"/>
        <w:rPr>
          <w:rFonts w:ascii="Times New Roman" w:hAnsi="Times New Roman"/>
          <w:sz w:val="20"/>
          <w:szCs w:val="20"/>
        </w:rPr>
      </w:pPr>
      <w:r w:rsidRPr="007509CF">
        <w:rPr>
          <w:rFonts w:ascii="Times New Roman" w:hAnsi="Times New Roman"/>
          <w:sz w:val="20"/>
          <w:szCs w:val="20"/>
        </w:rPr>
        <w:t xml:space="preserve">Author 1: </w:t>
      </w:r>
      <w:r w:rsidR="00C11427" w:rsidRPr="007509CF">
        <w:rPr>
          <w:rFonts w:ascii="Times New Roman" w:hAnsi="Times New Roman"/>
          <w:sz w:val="20"/>
          <w:szCs w:val="20"/>
        </w:rPr>
        <w:t>Ian Huskisson</w:t>
      </w:r>
    </w:p>
    <w:p w:rsidR="00C619C4" w:rsidRPr="007509CF" w:rsidRDefault="00C619C4" w:rsidP="004C5C42">
      <w:pPr>
        <w:spacing w:line="276" w:lineRule="auto"/>
        <w:outlineLvl w:val="0"/>
        <w:rPr>
          <w:rFonts w:ascii="Times New Roman" w:hAnsi="Times New Roman"/>
          <w:sz w:val="20"/>
          <w:szCs w:val="20"/>
        </w:rPr>
      </w:pPr>
      <w:r w:rsidRPr="007509CF">
        <w:rPr>
          <w:rFonts w:ascii="Times New Roman" w:hAnsi="Times New Roman"/>
          <w:sz w:val="20"/>
          <w:szCs w:val="20"/>
        </w:rPr>
        <w:t>Email:</w:t>
      </w:r>
      <w:r w:rsidR="00C11427" w:rsidRPr="007509CF">
        <w:rPr>
          <w:rFonts w:ascii="Times New Roman" w:hAnsi="Times New Roman"/>
          <w:sz w:val="20"/>
          <w:szCs w:val="20"/>
        </w:rPr>
        <w:t xml:space="preserve"> </w:t>
      </w:r>
      <w:hyperlink r:id="rId8" w:history="1">
        <w:r w:rsidR="00C11427" w:rsidRPr="007509CF">
          <w:rPr>
            <w:rStyle w:val="Hyperlink"/>
            <w:rFonts w:ascii="Times New Roman" w:hAnsi="Times New Roman"/>
            <w:color w:val="auto"/>
            <w:sz w:val="20"/>
            <w:szCs w:val="20"/>
          </w:rPr>
          <w:t>ihuskisson@tta.lawyer</w:t>
        </w:r>
      </w:hyperlink>
    </w:p>
    <w:p w:rsidR="00C619C4" w:rsidRPr="007509CF" w:rsidRDefault="00C619C4" w:rsidP="004C5C42">
      <w:pPr>
        <w:pStyle w:val="Outline1"/>
        <w:numPr>
          <w:ilvl w:val="0"/>
          <w:numId w:val="0"/>
        </w:numPr>
        <w:spacing w:before="0" w:after="0" w:line="276" w:lineRule="auto"/>
        <w:outlineLvl w:val="0"/>
        <w:rPr>
          <w:sz w:val="20"/>
        </w:rPr>
      </w:pPr>
      <w:r w:rsidRPr="007509CF">
        <w:rPr>
          <w:sz w:val="20"/>
        </w:rPr>
        <w:t xml:space="preserve">Author 2: </w:t>
      </w:r>
      <w:r w:rsidR="00C11427" w:rsidRPr="007509CF">
        <w:rPr>
          <w:sz w:val="20"/>
        </w:rPr>
        <w:t>Anna Peccarino</w:t>
      </w:r>
    </w:p>
    <w:p w:rsidR="00C619C4" w:rsidRPr="007509CF" w:rsidRDefault="00C619C4" w:rsidP="004C5C42">
      <w:pPr>
        <w:pStyle w:val="Outline1"/>
        <w:numPr>
          <w:ilvl w:val="0"/>
          <w:numId w:val="0"/>
        </w:numPr>
        <w:spacing w:before="0" w:after="0" w:line="276" w:lineRule="auto"/>
        <w:outlineLvl w:val="0"/>
        <w:rPr>
          <w:sz w:val="20"/>
        </w:rPr>
      </w:pPr>
      <w:r w:rsidRPr="007509CF">
        <w:rPr>
          <w:sz w:val="20"/>
        </w:rPr>
        <w:t>Email:</w:t>
      </w:r>
      <w:r w:rsidR="00C11427" w:rsidRPr="007509CF">
        <w:rPr>
          <w:sz w:val="20"/>
        </w:rPr>
        <w:t xml:space="preserve"> </w:t>
      </w:r>
      <w:hyperlink r:id="rId9" w:history="1">
        <w:r w:rsidR="00C11427" w:rsidRPr="007509CF">
          <w:rPr>
            <w:rStyle w:val="Hyperlink"/>
            <w:color w:val="auto"/>
            <w:sz w:val="20"/>
          </w:rPr>
          <w:t>apeccarino@tta.lawyer</w:t>
        </w:r>
      </w:hyperlink>
    </w:p>
    <w:p w:rsidR="00C11427" w:rsidRPr="007509CF" w:rsidRDefault="00C11427" w:rsidP="004C5C42">
      <w:pPr>
        <w:pStyle w:val="Outline1"/>
        <w:numPr>
          <w:ilvl w:val="0"/>
          <w:numId w:val="0"/>
        </w:numPr>
        <w:spacing w:before="0" w:after="0" w:line="276" w:lineRule="auto"/>
        <w:outlineLvl w:val="0"/>
        <w:rPr>
          <w:sz w:val="20"/>
        </w:rPr>
      </w:pPr>
      <w:r w:rsidRPr="007509CF">
        <w:rPr>
          <w:sz w:val="20"/>
        </w:rPr>
        <w:t>Author 3: Neil McLarnon</w:t>
      </w:r>
    </w:p>
    <w:p w:rsidR="00C11427" w:rsidRPr="007509CF" w:rsidRDefault="00C11427" w:rsidP="004C5C42">
      <w:pPr>
        <w:pStyle w:val="Outline1"/>
        <w:numPr>
          <w:ilvl w:val="0"/>
          <w:numId w:val="0"/>
        </w:numPr>
        <w:spacing w:before="0" w:after="0" w:line="276" w:lineRule="auto"/>
        <w:outlineLvl w:val="0"/>
        <w:rPr>
          <w:sz w:val="20"/>
        </w:rPr>
      </w:pPr>
      <w:r w:rsidRPr="007509CF">
        <w:rPr>
          <w:sz w:val="20"/>
        </w:rPr>
        <w:t xml:space="preserve">Email: </w:t>
      </w:r>
      <w:hyperlink r:id="rId10" w:history="1">
        <w:r w:rsidRPr="007509CF">
          <w:rPr>
            <w:rStyle w:val="Hyperlink"/>
            <w:color w:val="auto"/>
            <w:sz w:val="20"/>
          </w:rPr>
          <w:t>nmclarnon@tta.lawyer</w:t>
        </w:r>
      </w:hyperlink>
    </w:p>
    <w:p w:rsidR="009F3B32" w:rsidRPr="007509CF" w:rsidRDefault="009F3B32" w:rsidP="00BE671E">
      <w:pPr>
        <w:pStyle w:val="NormalAshurst"/>
        <w:spacing w:after="0" w:line="276" w:lineRule="auto"/>
        <w:rPr>
          <w:rFonts w:ascii="Times New Roman" w:hAnsi="Times New Roman"/>
          <w:sz w:val="20"/>
        </w:rPr>
      </w:pPr>
    </w:p>
    <w:p w:rsidR="00342AC6" w:rsidRPr="007509CF" w:rsidRDefault="00342AC6" w:rsidP="00342AC6">
      <w:pPr>
        <w:suppressAutoHyphens/>
        <w:autoSpaceDE w:val="0"/>
        <w:autoSpaceDN w:val="0"/>
        <w:adjustRightInd w:val="0"/>
        <w:spacing w:before="227" w:after="57" w:line="288" w:lineRule="auto"/>
        <w:ind w:left="170"/>
        <w:jc w:val="left"/>
        <w:textAlignment w:val="center"/>
        <w:rPr>
          <w:rFonts w:ascii="Times New Roman" w:hAnsi="Times New Roman"/>
          <w:b/>
          <w:bCs/>
          <w:sz w:val="20"/>
          <w:szCs w:val="20"/>
        </w:rPr>
      </w:pPr>
      <w:r w:rsidRPr="007509CF">
        <w:rPr>
          <w:rFonts w:ascii="Times New Roman" w:hAnsi="Times New Roman"/>
          <w:b/>
          <w:bCs/>
          <w:sz w:val="20"/>
          <w:szCs w:val="20"/>
        </w:rPr>
        <w:t>Efficiency/integrity</w:t>
      </w:r>
    </w:p>
    <w:p w:rsidR="00342AC6" w:rsidRPr="007509CF" w:rsidRDefault="00342AC6" w:rsidP="00342AC6">
      <w:pPr>
        <w:suppressAutoHyphens/>
        <w:autoSpaceDE w:val="0"/>
        <w:autoSpaceDN w:val="0"/>
        <w:adjustRightInd w:val="0"/>
        <w:spacing w:before="57" w:line="288" w:lineRule="auto"/>
        <w:textAlignment w:val="center"/>
        <w:rPr>
          <w:rFonts w:ascii="Times New Roman" w:hAnsi="Times New Roman"/>
          <w:sz w:val="20"/>
          <w:szCs w:val="20"/>
        </w:rPr>
      </w:pPr>
      <w:r w:rsidRPr="007509CF">
        <w:rPr>
          <w:rFonts w:ascii="Times New Roman" w:hAnsi="Times New Roman"/>
          <w:sz w:val="20"/>
          <w:szCs w:val="20"/>
        </w:rPr>
        <w:t xml:space="preserve">The Cayman Islands are a British Overseas Territory.  The legal system is based on the English common law, as amended by domestic statute, with the Privy Council in London as the highest court of appeal.  The legal structures, concepts, and approach are instantly recognisable to any English, </w:t>
      </w:r>
      <w:r w:rsidR="00C66791">
        <w:rPr>
          <w:rFonts w:ascii="Times New Roman" w:hAnsi="Times New Roman"/>
          <w:sz w:val="20"/>
          <w:szCs w:val="20"/>
        </w:rPr>
        <w:t>United States</w:t>
      </w:r>
      <w:r w:rsidR="00C66791" w:rsidRPr="007509CF">
        <w:rPr>
          <w:rFonts w:ascii="Times New Roman" w:hAnsi="Times New Roman"/>
          <w:sz w:val="20"/>
          <w:szCs w:val="20"/>
        </w:rPr>
        <w:t xml:space="preserve"> </w:t>
      </w:r>
      <w:r w:rsidRPr="007509CF">
        <w:rPr>
          <w:rFonts w:ascii="Times New Roman" w:hAnsi="Times New Roman"/>
          <w:sz w:val="20"/>
          <w:szCs w:val="20"/>
        </w:rPr>
        <w:t>or other common law adviser.  This backbone of legal similarity and political stability has proved crucial to the growth of the Islands.</w:t>
      </w:r>
    </w:p>
    <w:p w:rsidR="00342AC6" w:rsidRPr="007509CF" w:rsidRDefault="00342AC6" w:rsidP="00342AC6">
      <w:pPr>
        <w:suppressAutoHyphens/>
        <w:autoSpaceDE w:val="0"/>
        <w:autoSpaceDN w:val="0"/>
        <w:adjustRightInd w:val="0"/>
        <w:spacing w:before="57" w:line="288" w:lineRule="auto"/>
        <w:textAlignment w:val="center"/>
        <w:rPr>
          <w:rFonts w:ascii="Times New Roman" w:hAnsi="Times New Roman"/>
          <w:spacing w:val="-1"/>
          <w:sz w:val="20"/>
          <w:szCs w:val="20"/>
        </w:rPr>
      </w:pPr>
      <w:r w:rsidRPr="007509CF">
        <w:rPr>
          <w:rFonts w:ascii="Times New Roman" w:hAnsi="Times New Roman"/>
          <w:spacing w:val="-1"/>
          <w:sz w:val="20"/>
          <w:szCs w:val="20"/>
        </w:rPr>
        <w:t>Over the last 30 years and more, the Cayman Islands have developed specific legislation to facilitate a wide range of international financial transactions.  In addition, the Cayman Islands have a broad pool of accountants, bankers, lawyers and other service providers in order to offer service levels similar to those found in the leading onshore centres.</w:t>
      </w:r>
    </w:p>
    <w:p w:rsidR="00342AC6" w:rsidRPr="007509CF" w:rsidRDefault="005D0936" w:rsidP="00342AC6">
      <w:pPr>
        <w:suppressAutoHyphens/>
        <w:autoSpaceDE w:val="0"/>
        <w:autoSpaceDN w:val="0"/>
        <w:adjustRightInd w:val="0"/>
        <w:spacing w:before="57" w:line="288" w:lineRule="auto"/>
        <w:textAlignment w:val="center"/>
        <w:rPr>
          <w:rFonts w:ascii="Times New Roman" w:hAnsi="Times New Roman"/>
          <w:sz w:val="20"/>
          <w:szCs w:val="20"/>
        </w:rPr>
      </w:pPr>
      <w:r w:rsidRPr="007509CF">
        <w:rPr>
          <w:rFonts w:ascii="Times New Roman" w:hAnsi="Times New Roman"/>
          <w:sz w:val="20"/>
          <w:szCs w:val="20"/>
        </w:rPr>
        <w:t xml:space="preserve">Most </w:t>
      </w:r>
      <w:r w:rsidR="00342AC6" w:rsidRPr="007509CF">
        <w:rPr>
          <w:rFonts w:ascii="Times New Roman" w:hAnsi="Times New Roman"/>
          <w:sz w:val="20"/>
          <w:szCs w:val="20"/>
        </w:rPr>
        <w:t xml:space="preserve">of the top 50 banks globally hold licences in the Cayman Islands.  With </w:t>
      </w:r>
      <w:r w:rsidRPr="007509CF">
        <w:rPr>
          <w:rFonts w:ascii="Times New Roman" w:hAnsi="Times New Roman"/>
          <w:sz w:val="20"/>
          <w:szCs w:val="20"/>
        </w:rPr>
        <w:t xml:space="preserve">24,591 regulated </w:t>
      </w:r>
      <w:r w:rsidR="00342AC6" w:rsidRPr="007509CF">
        <w:rPr>
          <w:rFonts w:ascii="Times New Roman" w:hAnsi="Times New Roman"/>
          <w:sz w:val="20"/>
          <w:szCs w:val="20"/>
        </w:rPr>
        <w:t>investment funds</w:t>
      </w:r>
      <w:r w:rsidRPr="007509CF">
        <w:rPr>
          <w:rFonts w:ascii="Times New Roman" w:hAnsi="Times New Roman"/>
          <w:sz w:val="20"/>
          <w:szCs w:val="20"/>
        </w:rPr>
        <w:t xml:space="preserve"> as of December 2020</w:t>
      </w:r>
      <w:r w:rsidR="00342AC6" w:rsidRPr="007509CF">
        <w:rPr>
          <w:rFonts w:ascii="Times New Roman" w:hAnsi="Times New Roman"/>
          <w:sz w:val="20"/>
          <w:szCs w:val="20"/>
        </w:rPr>
        <w:t>, Cayman Islands fund vehicles are considered, by a very wide margin, to be the market leader for offshore hedge funds.  In terms of insurance, the Cayman Islands are one of the most attractive jurisdictions for captive vehicles, and continue to be the leading jurisdiction for healthcare captives.</w:t>
      </w:r>
    </w:p>
    <w:p w:rsidR="00342AC6" w:rsidRPr="007509CF" w:rsidRDefault="00342AC6" w:rsidP="00342AC6">
      <w:pPr>
        <w:suppressAutoHyphens/>
        <w:autoSpaceDE w:val="0"/>
        <w:autoSpaceDN w:val="0"/>
        <w:adjustRightInd w:val="0"/>
        <w:spacing w:before="57" w:line="288" w:lineRule="auto"/>
        <w:textAlignment w:val="center"/>
        <w:rPr>
          <w:rFonts w:ascii="Times New Roman" w:hAnsi="Times New Roman"/>
          <w:sz w:val="20"/>
          <w:szCs w:val="20"/>
        </w:rPr>
      </w:pPr>
      <w:r w:rsidRPr="007509CF">
        <w:rPr>
          <w:rFonts w:ascii="Times New Roman" w:hAnsi="Times New Roman"/>
          <w:sz w:val="20"/>
          <w:szCs w:val="20"/>
        </w:rPr>
        <w:t xml:space="preserve">The administration of justice in the Cayman Islands is carried out on three levels: the Summary Court; the Grand Court; and the Court of Appeal.  In 2009, in response to the needs of the financial services industry, the Financial Services Division of the Grand Court </w:t>
      </w:r>
      <w:r w:rsidR="00666E73" w:rsidRPr="007509CF">
        <w:rPr>
          <w:rFonts w:ascii="Times New Roman" w:hAnsi="Times New Roman"/>
          <w:sz w:val="20"/>
          <w:szCs w:val="20"/>
        </w:rPr>
        <w:t xml:space="preserve">(the </w:t>
      </w:r>
      <w:r w:rsidR="00666E73">
        <w:rPr>
          <w:rFonts w:ascii="Times New Roman" w:hAnsi="Times New Roman"/>
          <w:sz w:val="20"/>
          <w:szCs w:val="20"/>
        </w:rPr>
        <w:t>“</w:t>
      </w:r>
      <w:r w:rsidR="00666E73" w:rsidRPr="007509CF">
        <w:rPr>
          <w:rFonts w:ascii="Times New Roman" w:hAnsi="Times New Roman"/>
          <w:sz w:val="20"/>
          <w:szCs w:val="20"/>
        </w:rPr>
        <w:t>FSD</w:t>
      </w:r>
      <w:r w:rsidR="00666E73">
        <w:rPr>
          <w:rFonts w:ascii="Times New Roman" w:hAnsi="Times New Roman"/>
          <w:sz w:val="20"/>
          <w:szCs w:val="20"/>
        </w:rPr>
        <w:t>”</w:t>
      </w:r>
      <w:r w:rsidR="00666E73" w:rsidRPr="007509CF">
        <w:rPr>
          <w:rFonts w:ascii="Times New Roman" w:hAnsi="Times New Roman"/>
          <w:sz w:val="20"/>
          <w:szCs w:val="20"/>
        </w:rPr>
        <w:t>)</w:t>
      </w:r>
      <w:r w:rsidR="00666E73">
        <w:rPr>
          <w:rFonts w:ascii="Times New Roman" w:hAnsi="Times New Roman"/>
          <w:sz w:val="20"/>
          <w:szCs w:val="20"/>
        </w:rPr>
        <w:t xml:space="preserve"> </w:t>
      </w:r>
      <w:r w:rsidRPr="007509CF">
        <w:rPr>
          <w:rFonts w:ascii="Times New Roman" w:hAnsi="Times New Roman"/>
          <w:sz w:val="20"/>
          <w:szCs w:val="20"/>
        </w:rPr>
        <w:t xml:space="preserve">was established.  The FSD is modelled on the </w:t>
      </w:r>
      <w:r w:rsidR="005D0936" w:rsidRPr="007509CF">
        <w:rPr>
          <w:rFonts w:ascii="Times New Roman" w:hAnsi="Times New Roman"/>
          <w:sz w:val="20"/>
          <w:szCs w:val="20"/>
        </w:rPr>
        <w:t xml:space="preserve">Business and Property Courts in England and Wales. </w:t>
      </w:r>
      <w:r w:rsidR="007509CF">
        <w:rPr>
          <w:rFonts w:ascii="Times New Roman" w:hAnsi="Times New Roman"/>
          <w:sz w:val="20"/>
          <w:szCs w:val="20"/>
        </w:rPr>
        <w:t xml:space="preserve"> </w:t>
      </w:r>
      <w:r w:rsidR="005D0936" w:rsidRPr="007509CF">
        <w:rPr>
          <w:rFonts w:ascii="Times New Roman" w:hAnsi="Times New Roman"/>
          <w:sz w:val="20"/>
          <w:szCs w:val="20"/>
        </w:rPr>
        <w:t>The FSD</w:t>
      </w:r>
      <w:r w:rsidRPr="007509CF">
        <w:rPr>
          <w:rFonts w:ascii="Times New Roman" w:hAnsi="Times New Roman"/>
          <w:sz w:val="20"/>
          <w:szCs w:val="20"/>
        </w:rPr>
        <w:t xml:space="preserve"> has highly experienced judges presiding over complex financial services disputes.</w:t>
      </w:r>
    </w:p>
    <w:p w:rsidR="00342AC6" w:rsidRPr="007509CF" w:rsidRDefault="00342AC6" w:rsidP="00342AC6">
      <w:pPr>
        <w:suppressAutoHyphens/>
        <w:autoSpaceDE w:val="0"/>
        <w:autoSpaceDN w:val="0"/>
        <w:adjustRightInd w:val="0"/>
        <w:spacing w:before="57" w:line="288" w:lineRule="auto"/>
        <w:textAlignment w:val="center"/>
        <w:rPr>
          <w:rFonts w:ascii="Times New Roman" w:hAnsi="Times New Roman"/>
          <w:sz w:val="20"/>
          <w:szCs w:val="20"/>
        </w:rPr>
      </w:pPr>
      <w:r w:rsidRPr="007509CF">
        <w:rPr>
          <w:rFonts w:ascii="Times New Roman" w:hAnsi="Times New Roman"/>
          <w:sz w:val="20"/>
          <w:szCs w:val="20"/>
        </w:rPr>
        <w:t>Appeals from the Grand Court lie with the Cayman Islands Court of Appeal, which sits regularly throughout the year.  Appeals are heard by three judges, including Lord Justices of Appeal from the English Court of Appeal.  In appropriate cases, further appeal may lie with the Judicial Committee of the Privy Council in London.  Judgments of the Privy Council are persuasive in many jurisdictions.</w:t>
      </w:r>
    </w:p>
    <w:p w:rsidR="005D0936" w:rsidRPr="007509CF" w:rsidRDefault="00342AC6" w:rsidP="00342AC6">
      <w:pPr>
        <w:suppressAutoHyphens/>
        <w:autoSpaceDE w:val="0"/>
        <w:autoSpaceDN w:val="0"/>
        <w:adjustRightInd w:val="0"/>
        <w:spacing w:before="57" w:line="288" w:lineRule="auto"/>
        <w:textAlignment w:val="center"/>
        <w:rPr>
          <w:rFonts w:ascii="Times New Roman" w:hAnsi="Times New Roman"/>
          <w:sz w:val="20"/>
          <w:szCs w:val="20"/>
        </w:rPr>
      </w:pPr>
      <w:r w:rsidRPr="007509CF">
        <w:rPr>
          <w:rFonts w:ascii="Times New Roman" w:hAnsi="Times New Roman"/>
          <w:sz w:val="20"/>
          <w:szCs w:val="20"/>
        </w:rPr>
        <w:t xml:space="preserve">There have been numerous ground-breaking decisions of the Privy Council in its capacity as the </w:t>
      </w:r>
      <w:r w:rsidR="00EF0C71" w:rsidRPr="007509CF">
        <w:rPr>
          <w:rFonts w:ascii="Times New Roman" w:hAnsi="Times New Roman"/>
          <w:sz w:val="20"/>
          <w:szCs w:val="20"/>
        </w:rPr>
        <w:t>highest</w:t>
      </w:r>
      <w:r w:rsidRPr="007509CF">
        <w:rPr>
          <w:rFonts w:ascii="Times New Roman" w:hAnsi="Times New Roman"/>
          <w:sz w:val="20"/>
          <w:szCs w:val="20"/>
        </w:rPr>
        <w:t xml:space="preserve"> court of appeal of the Cayman Islands.  </w:t>
      </w:r>
      <w:r w:rsidR="00CF398B" w:rsidRPr="007509CF">
        <w:rPr>
          <w:rFonts w:ascii="Times New Roman" w:hAnsi="Times New Roman"/>
          <w:sz w:val="20"/>
          <w:szCs w:val="20"/>
        </w:rPr>
        <w:t xml:space="preserve">Important decisions over the past 10 years </w:t>
      </w:r>
      <w:r w:rsidR="005D0936" w:rsidRPr="007509CF">
        <w:rPr>
          <w:rFonts w:ascii="Times New Roman" w:hAnsi="Times New Roman"/>
          <w:sz w:val="20"/>
          <w:szCs w:val="20"/>
        </w:rPr>
        <w:t xml:space="preserve">include: </w:t>
      </w:r>
    </w:p>
    <w:p w:rsidR="005D0936" w:rsidRPr="007509CF" w:rsidRDefault="005D0936" w:rsidP="003B57DF">
      <w:pPr>
        <w:pStyle w:val="ListParagraph"/>
        <w:numPr>
          <w:ilvl w:val="0"/>
          <w:numId w:val="37"/>
        </w:numPr>
        <w:suppressAutoHyphens/>
        <w:autoSpaceDE w:val="0"/>
        <w:autoSpaceDN w:val="0"/>
        <w:adjustRightInd w:val="0"/>
        <w:spacing w:before="57" w:line="288" w:lineRule="auto"/>
        <w:textAlignment w:val="center"/>
        <w:rPr>
          <w:rFonts w:ascii="Times New Roman" w:hAnsi="Times New Roman"/>
          <w:sz w:val="20"/>
          <w:szCs w:val="20"/>
        </w:rPr>
      </w:pPr>
      <w:r w:rsidRPr="007509CF">
        <w:rPr>
          <w:rFonts w:ascii="Times New Roman" w:hAnsi="Times New Roman"/>
          <w:i/>
          <w:sz w:val="20"/>
          <w:szCs w:val="20"/>
        </w:rPr>
        <w:t xml:space="preserve">Shanda Games v Maso </w:t>
      </w:r>
      <w:r w:rsidRPr="007509CF">
        <w:rPr>
          <w:rFonts w:ascii="Times New Roman" w:hAnsi="Times New Roman"/>
          <w:sz w:val="20"/>
          <w:szCs w:val="20"/>
        </w:rPr>
        <w:t>[2020] UKPC</w:t>
      </w:r>
      <w:r w:rsidR="002013FE">
        <w:rPr>
          <w:rFonts w:ascii="Times New Roman" w:hAnsi="Times New Roman"/>
          <w:sz w:val="20"/>
          <w:szCs w:val="20"/>
        </w:rPr>
        <w:t xml:space="preserve"> </w:t>
      </w:r>
      <w:r w:rsidRPr="007509CF">
        <w:rPr>
          <w:rFonts w:ascii="Times New Roman" w:hAnsi="Times New Roman"/>
          <w:sz w:val="20"/>
          <w:szCs w:val="20"/>
        </w:rPr>
        <w:t xml:space="preserve">2 (confirming that </w:t>
      </w:r>
      <w:r w:rsidR="0010376C" w:rsidRPr="007509CF">
        <w:rPr>
          <w:rFonts w:ascii="Times New Roman" w:hAnsi="Times New Roman"/>
          <w:sz w:val="20"/>
          <w:szCs w:val="20"/>
        </w:rPr>
        <w:t xml:space="preserve">a </w:t>
      </w:r>
      <w:r w:rsidRPr="007509CF">
        <w:rPr>
          <w:rFonts w:ascii="Times New Roman" w:hAnsi="Times New Roman"/>
          <w:sz w:val="20"/>
          <w:szCs w:val="20"/>
        </w:rPr>
        <w:t>minority discount m</w:t>
      </w:r>
      <w:r w:rsidR="0010376C" w:rsidRPr="007509CF">
        <w:rPr>
          <w:rFonts w:ascii="Times New Roman" w:hAnsi="Times New Roman"/>
          <w:sz w:val="20"/>
          <w:szCs w:val="20"/>
        </w:rPr>
        <w:t>ay</w:t>
      </w:r>
      <w:r w:rsidRPr="007509CF">
        <w:rPr>
          <w:rFonts w:ascii="Times New Roman" w:hAnsi="Times New Roman"/>
          <w:sz w:val="20"/>
          <w:szCs w:val="20"/>
        </w:rPr>
        <w:t xml:space="preserve"> be applied to </w:t>
      </w:r>
      <w:r w:rsidR="007509CF">
        <w:rPr>
          <w:rFonts w:ascii="Times New Roman" w:hAnsi="Times New Roman"/>
          <w:sz w:val="20"/>
          <w:szCs w:val="20"/>
        </w:rPr>
        <w:t>“</w:t>
      </w:r>
      <w:r w:rsidRPr="007509CF">
        <w:rPr>
          <w:rFonts w:ascii="Times New Roman" w:hAnsi="Times New Roman"/>
          <w:sz w:val="20"/>
          <w:szCs w:val="20"/>
        </w:rPr>
        <w:t>fair value</w:t>
      </w:r>
      <w:r w:rsidR="007509CF">
        <w:rPr>
          <w:rFonts w:ascii="Times New Roman" w:hAnsi="Times New Roman"/>
          <w:sz w:val="20"/>
          <w:szCs w:val="20"/>
        </w:rPr>
        <w:t>”</w:t>
      </w:r>
      <w:r w:rsidRPr="007509CF">
        <w:rPr>
          <w:rFonts w:ascii="Times New Roman" w:hAnsi="Times New Roman"/>
          <w:sz w:val="20"/>
          <w:szCs w:val="20"/>
        </w:rPr>
        <w:t xml:space="preserve"> </w:t>
      </w:r>
      <w:r w:rsidR="00EF0C71" w:rsidRPr="007509CF">
        <w:rPr>
          <w:rFonts w:ascii="Times New Roman" w:hAnsi="Times New Roman"/>
          <w:sz w:val="20"/>
          <w:szCs w:val="20"/>
        </w:rPr>
        <w:t>pay</w:t>
      </w:r>
      <w:r w:rsidR="0010376C" w:rsidRPr="007509CF">
        <w:rPr>
          <w:rFonts w:ascii="Times New Roman" w:hAnsi="Times New Roman"/>
          <w:sz w:val="20"/>
          <w:szCs w:val="20"/>
        </w:rPr>
        <w:t>ments</w:t>
      </w:r>
      <w:r w:rsidR="00EF0C71" w:rsidRPr="007509CF">
        <w:rPr>
          <w:rFonts w:ascii="Times New Roman" w:hAnsi="Times New Roman"/>
          <w:sz w:val="20"/>
          <w:szCs w:val="20"/>
        </w:rPr>
        <w:t xml:space="preserve"> to a </w:t>
      </w:r>
      <w:r w:rsidRPr="007509CF">
        <w:rPr>
          <w:rFonts w:ascii="Times New Roman" w:hAnsi="Times New Roman"/>
          <w:sz w:val="20"/>
          <w:szCs w:val="20"/>
        </w:rPr>
        <w:t xml:space="preserve">shareholder </w:t>
      </w:r>
      <w:r w:rsidR="00EF0C71" w:rsidRPr="007509CF">
        <w:rPr>
          <w:rFonts w:ascii="Times New Roman" w:hAnsi="Times New Roman"/>
          <w:sz w:val="20"/>
          <w:szCs w:val="20"/>
        </w:rPr>
        <w:t xml:space="preserve">dissenting </w:t>
      </w:r>
      <w:r w:rsidR="0010376C" w:rsidRPr="007509CF">
        <w:rPr>
          <w:rFonts w:ascii="Times New Roman" w:hAnsi="Times New Roman"/>
          <w:sz w:val="20"/>
          <w:szCs w:val="20"/>
        </w:rPr>
        <w:t>from</w:t>
      </w:r>
      <w:r w:rsidR="00EF0C71" w:rsidRPr="007509CF">
        <w:rPr>
          <w:rFonts w:ascii="Times New Roman" w:hAnsi="Times New Roman"/>
          <w:sz w:val="20"/>
          <w:szCs w:val="20"/>
        </w:rPr>
        <w:t xml:space="preserve"> a </w:t>
      </w:r>
      <w:r w:rsidRPr="007509CF">
        <w:rPr>
          <w:rFonts w:ascii="Times New Roman" w:hAnsi="Times New Roman"/>
          <w:sz w:val="20"/>
          <w:szCs w:val="20"/>
        </w:rPr>
        <w:t>merger).</w:t>
      </w:r>
    </w:p>
    <w:p w:rsidR="005D0936" w:rsidRPr="007509CF" w:rsidRDefault="005D0936" w:rsidP="00342AC6">
      <w:pPr>
        <w:pStyle w:val="ListParagraph"/>
        <w:numPr>
          <w:ilvl w:val="0"/>
          <w:numId w:val="37"/>
        </w:numPr>
        <w:suppressAutoHyphens/>
        <w:autoSpaceDE w:val="0"/>
        <w:autoSpaceDN w:val="0"/>
        <w:adjustRightInd w:val="0"/>
        <w:spacing w:before="57" w:line="288" w:lineRule="auto"/>
        <w:textAlignment w:val="center"/>
        <w:rPr>
          <w:rFonts w:ascii="Times New Roman" w:hAnsi="Times New Roman"/>
          <w:sz w:val="20"/>
          <w:szCs w:val="20"/>
        </w:rPr>
      </w:pPr>
      <w:r w:rsidRPr="007509CF">
        <w:rPr>
          <w:rFonts w:ascii="Times New Roman" w:hAnsi="Times New Roman"/>
          <w:i/>
          <w:sz w:val="20"/>
          <w:szCs w:val="20"/>
        </w:rPr>
        <w:t xml:space="preserve">Pearson v Primeo </w:t>
      </w:r>
      <w:r w:rsidRPr="007509CF">
        <w:rPr>
          <w:rFonts w:ascii="Times New Roman" w:hAnsi="Times New Roman"/>
          <w:sz w:val="20"/>
          <w:szCs w:val="20"/>
        </w:rPr>
        <w:t>[2020] UKPC 3 (a liquidator is not entitled to rectify the register of members of a company in order to alter members</w:t>
      </w:r>
      <w:r w:rsidR="007509CF">
        <w:rPr>
          <w:rFonts w:ascii="Times New Roman" w:hAnsi="Times New Roman"/>
          <w:sz w:val="20"/>
          <w:szCs w:val="20"/>
        </w:rPr>
        <w:t>’</w:t>
      </w:r>
      <w:r w:rsidRPr="007509CF">
        <w:rPr>
          <w:rFonts w:ascii="Times New Roman" w:hAnsi="Times New Roman"/>
          <w:sz w:val="20"/>
          <w:szCs w:val="20"/>
        </w:rPr>
        <w:t xml:space="preserve"> legal rights, even in the case of a </w:t>
      </w:r>
      <w:r w:rsidR="007509CF">
        <w:rPr>
          <w:rFonts w:ascii="Times New Roman" w:hAnsi="Times New Roman"/>
          <w:sz w:val="20"/>
          <w:szCs w:val="20"/>
        </w:rPr>
        <w:t>“</w:t>
      </w:r>
      <w:r w:rsidRPr="007509CF">
        <w:rPr>
          <w:rFonts w:ascii="Times New Roman" w:hAnsi="Times New Roman"/>
          <w:sz w:val="20"/>
          <w:szCs w:val="20"/>
        </w:rPr>
        <w:t>Ponzi</w:t>
      </w:r>
      <w:r w:rsidR="007509CF">
        <w:rPr>
          <w:rFonts w:ascii="Times New Roman" w:hAnsi="Times New Roman"/>
          <w:sz w:val="20"/>
          <w:szCs w:val="20"/>
        </w:rPr>
        <w:t>”</w:t>
      </w:r>
      <w:r w:rsidRPr="007509CF">
        <w:rPr>
          <w:rFonts w:ascii="Times New Roman" w:hAnsi="Times New Roman"/>
          <w:sz w:val="20"/>
          <w:szCs w:val="20"/>
        </w:rPr>
        <w:t xml:space="preserve"> scheme).</w:t>
      </w:r>
    </w:p>
    <w:p w:rsidR="00CF398B" w:rsidRPr="007509CF" w:rsidRDefault="00CF398B" w:rsidP="003B57DF">
      <w:pPr>
        <w:pStyle w:val="ListParagraph"/>
        <w:numPr>
          <w:ilvl w:val="0"/>
          <w:numId w:val="37"/>
        </w:numPr>
        <w:suppressAutoHyphens/>
        <w:autoSpaceDE w:val="0"/>
        <w:autoSpaceDN w:val="0"/>
        <w:adjustRightInd w:val="0"/>
        <w:spacing w:before="57" w:line="288" w:lineRule="auto"/>
        <w:textAlignment w:val="center"/>
        <w:rPr>
          <w:rFonts w:ascii="Times New Roman" w:hAnsi="Times New Roman"/>
          <w:i/>
          <w:iCs/>
          <w:sz w:val="20"/>
          <w:szCs w:val="20"/>
        </w:rPr>
      </w:pPr>
      <w:r w:rsidRPr="007509CF">
        <w:rPr>
          <w:rFonts w:ascii="Times New Roman" w:hAnsi="Times New Roman"/>
          <w:i/>
          <w:iCs/>
          <w:sz w:val="20"/>
          <w:szCs w:val="20"/>
        </w:rPr>
        <w:t>Francis v Vista Del Mar</w:t>
      </w:r>
      <w:r w:rsidRPr="007509CF">
        <w:rPr>
          <w:rFonts w:ascii="Times New Roman" w:hAnsi="Times New Roman"/>
          <w:sz w:val="20"/>
          <w:szCs w:val="20"/>
        </w:rPr>
        <w:t xml:space="preserve"> [2019] UKPC 14 (concerns the enforceability of option agreements in real estate transactions).</w:t>
      </w:r>
    </w:p>
    <w:p w:rsidR="00CF398B" w:rsidRPr="007509CF" w:rsidRDefault="00CF398B" w:rsidP="003B57DF">
      <w:pPr>
        <w:pStyle w:val="ListParagraph"/>
        <w:numPr>
          <w:ilvl w:val="0"/>
          <w:numId w:val="37"/>
        </w:numPr>
        <w:suppressAutoHyphens/>
        <w:autoSpaceDE w:val="0"/>
        <w:autoSpaceDN w:val="0"/>
        <w:adjustRightInd w:val="0"/>
        <w:spacing w:before="57" w:line="288" w:lineRule="auto"/>
        <w:textAlignment w:val="center"/>
        <w:rPr>
          <w:rFonts w:ascii="Times New Roman" w:hAnsi="Times New Roman"/>
          <w:sz w:val="20"/>
          <w:szCs w:val="20"/>
        </w:rPr>
      </w:pPr>
      <w:r w:rsidRPr="007509CF">
        <w:rPr>
          <w:rFonts w:ascii="Times New Roman" w:hAnsi="Times New Roman"/>
          <w:i/>
          <w:iCs/>
          <w:sz w:val="20"/>
          <w:szCs w:val="20"/>
        </w:rPr>
        <w:t>Almazeidi v Penner</w:t>
      </w:r>
      <w:r w:rsidRPr="007509CF">
        <w:rPr>
          <w:rFonts w:ascii="Times New Roman" w:hAnsi="Times New Roman"/>
          <w:sz w:val="20"/>
          <w:szCs w:val="20"/>
        </w:rPr>
        <w:t xml:space="preserve"> [2018] UKPC 3 (addresses the requirements for judicial independence). </w:t>
      </w:r>
    </w:p>
    <w:p w:rsidR="005D0936" w:rsidRPr="007509CF" w:rsidRDefault="00342AC6" w:rsidP="003B57DF">
      <w:pPr>
        <w:pStyle w:val="ListParagraph"/>
        <w:numPr>
          <w:ilvl w:val="0"/>
          <w:numId w:val="37"/>
        </w:numPr>
        <w:suppressAutoHyphens/>
        <w:autoSpaceDE w:val="0"/>
        <w:autoSpaceDN w:val="0"/>
        <w:adjustRightInd w:val="0"/>
        <w:spacing w:before="57" w:line="288" w:lineRule="auto"/>
        <w:textAlignment w:val="center"/>
        <w:rPr>
          <w:rFonts w:ascii="Times New Roman" w:hAnsi="Times New Roman"/>
          <w:sz w:val="20"/>
          <w:szCs w:val="20"/>
        </w:rPr>
      </w:pPr>
      <w:r w:rsidRPr="007509CF">
        <w:rPr>
          <w:rFonts w:ascii="Times New Roman" w:hAnsi="Times New Roman"/>
          <w:i/>
          <w:iCs/>
          <w:sz w:val="20"/>
          <w:szCs w:val="20"/>
        </w:rPr>
        <w:t>DD Growth v RMF</w:t>
      </w:r>
      <w:r w:rsidRPr="007509CF">
        <w:rPr>
          <w:rFonts w:ascii="Times New Roman" w:hAnsi="Times New Roman"/>
          <w:sz w:val="20"/>
          <w:szCs w:val="20"/>
        </w:rPr>
        <w:t xml:space="preserve"> [2017] UKPC 36 (unlawful distributions to an investor can only be clawed back by a liquidator upon evidence of knowledge of wrongdoing)</w:t>
      </w:r>
      <w:r w:rsidR="00CF398B" w:rsidRPr="007509CF">
        <w:rPr>
          <w:rFonts w:ascii="Times New Roman" w:hAnsi="Times New Roman"/>
          <w:sz w:val="20"/>
          <w:szCs w:val="20"/>
        </w:rPr>
        <w:t>.</w:t>
      </w:r>
      <w:r w:rsidRPr="007509CF">
        <w:rPr>
          <w:rFonts w:ascii="Times New Roman" w:hAnsi="Times New Roman"/>
          <w:sz w:val="20"/>
          <w:szCs w:val="20"/>
        </w:rPr>
        <w:t xml:space="preserve"> </w:t>
      </w:r>
    </w:p>
    <w:p w:rsidR="00CF398B" w:rsidRPr="007509CF" w:rsidRDefault="00342AC6" w:rsidP="003B57DF">
      <w:pPr>
        <w:pStyle w:val="ListParagraph"/>
        <w:numPr>
          <w:ilvl w:val="0"/>
          <w:numId w:val="37"/>
        </w:numPr>
        <w:suppressAutoHyphens/>
        <w:autoSpaceDE w:val="0"/>
        <w:autoSpaceDN w:val="0"/>
        <w:adjustRightInd w:val="0"/>
        <w:spacing w:before="57" w:line="288" w:lineRule="auto"/>
        <w:textAlignment w:val="center"/>
        <w:rPr>
          <w:rFonts w:ascii="Times New Roman" w:hAnsi="Times New Roman"/>
          <w:sz w:val="20"/>
          <w:szCs w:val="20"/>
        </w:rPr>
      </w:pPr>
      <w:r w:rsidRPr="007509CF">
        <w:rPr>
          <w:rFonts w:ascii="Times New Roman" w:hAnsi="Times New Roman"/>
          <w:i/>
          <w:iCs/>
          <w:sz w:val="20"/>
          <w:szCs w:val="20"/>
        </w:rPr>
        <w:t>Pearson v Primeo</w:t>
      </w:r>
      <w:r w:rsidRPr="007509CF">
        <w:rPr>
          <w:rFonts w:ascii="Times New Roman" w:hAnsi="Times New Roman"/>
          <w:sz w:val="20"/>
          <w:szCs w:val="20"/>
        </w:rPr>
        <w:t xml:space="preserve"> [2017] UKPC 19 (dealing with priorities between different investors in a liquidation)</w:t>
      </w:r>
      <w:r w:rsidR="00CF398B" w:rsidRPr="007509CF">
        <w:rPr>
          <w:rFonts w:ascii="Times New Roman" w:hAnsi="Times New Roman"/>
          <w:sz w:val="20"/>
          <w:szCs w:val="20"/>
        </w:rPr>
        <w:t>.</w:t>
      </w:r>
    </w:p>
    <w:p w:rsidR="00342AC6" w:rsidRPr="007509CF" w:rsidRDefault="00342AC6" w:rsidP="003B57DF">
      <w:pPr>
        <w:pStyle w:val="ListParagraph"/>
        <w:numPr>
          <w:ilvl w:val="0"/>
          <w:numId w:val="37"/>
        </w:numPr>
        <w:suppressAutoHyphens/>
        <w:autoSpaceDE w:val="0"/>
        <w:autoSpaceDN w:val="0"/>
        <w:adjustRightInd w:val="0"/>
        <w:spacing w:before="57" w:line="288" w:lineRule="auto"/>
        <w:textAlignment w:val="center"/>
        <w:rPr>
          <w:rFonts w:ascii="Times New Roman" w:hAnsi="Times New Roman"/>
          <w:sz w:val="20"/>
          <w:szCs w:val="20"/>
        </w:rPr>
      </w:pPr>
      <w:r w:rsidRPr="007509CF">
        <w:rPr>
          <w:rFonts w:ascii="Times New Roman" w:hAnsi="Times New Roman"/>
          <w:i/>
          <w:iCs/>
          <w:sz w:val="20"/>
          <w:szCs w:val="20"/>
        </w:rPr>
        <w:t>Crawford Adjusters and others v Sagicor General Insurance (Cayman) Limited</w:t>
      </w:r>
      <w:r w:rsidRPr="007509CF">
        <w:rPr>
          <w:rFonts w:ascii="Times New Roman" w:hAnsi="Times New Roman"/>
          <w:sz w:val="20"/>
          <w:szCs w:val="20"/>
        </w:rPr>
        <w:t xml:space="preserve"> [2013] UKPC 17 </w:t>
      </w:r>
      <w:r w:rsidR="00CF398B" w:rsidRPr="007509CF">
        <w:rPr>
          <w:rFonts w:ascii="Times New Roman" w:hAnsi="Times New Roman"/>
          <w:sz w:val="20"/>
          <w:szCs w:val="20"/>
        </w:rPr>
        <w:t>(</w:t>
      </w:r>
      <w:r w:rsidRPr="007509CF">
        <w:rPr>
          <w:rFonts w:ascii="Times New Roman" w:hAnsi="Times New Roman"/>
          <w:sz w:val="20"/>
          <w:szCs w:val="20"/>
        </w:rPr>
        <w:t>extend</w:t>
      </w:r>
      <w:r w:rsidR="00CF398B" w:rsidRPr="007509CF">
        <w:rPr>
          <w:rFonts w:ascii="Times New Roman" w:hAnsi="Times New Roman"/>
          <w:sz w:val="20"/>
          <w:szCs w:val="20"/>
        </w:rPr>
        <w:t>ing</w:t>
      </w:r>
      <w:r w:rsidRPr="007509CF">
        <w:rPr>
          <w:rFonts w:ascii="Times New Roman" w:hAnsi="Times New Roman"/>
          <w:sz w:val="20"/>
          <w:szCs w:val="20"/>
        </w:rPr>
        <w:t xml:space="preserve"> the tort of malicious prosecution to civil as well as criminal cases for the very first time</w:t>
      </w:r>
      <w:r w:rsidR="00CF398B" w:rsidRPr="007509CF">
        <w:rPr>
          <w:rFonts w:ascii="Times New Roman" w:hAnsi="Times New Roman"/>
          <w:sz w:val="20"/>
          <w:szCs w:val="20"/>
        </w:rPr>
        <w:t>)</w:t>
      </w:r>
      <w:r w:rsidRPr="007509CF">
        <w:rPr>
          <w:rFonts w:ascii="Times New Roman" w:hAnsi="Times New Roman"/>
          <w:sz w:val="20"/>
          <w:szCs w:val="20"/>
        </w:rPr>
        <w:t>.</w:t>
      </w:r>
    </w:p>
    <w:p w:rsidR="00CF398B" w:rsidRPr="007509CF" w:rsidRDefault="00CF398B" w:rsidP="003B57DF">
      <w:pPr>
        <w:pStyle w:val="ListParagraph"/>
        <w:numPr>
          <w:ilvl w:val="0"/>
          <w:numId w:val="37"/>
        </w:numPr>
        <w:suppressAutoHyphens/>
        <w:autoSpaceDE w:val="0"/>
        <w:autoSpaceDN w:val="0"/>
        <w:adjustRightInd w:val="0"/>
        <w:spacing w:before="57" w:line="288" w:lineRule="auto"/>
        <w:textAlignment w:val="center"/>
        <w:rPr>
          <w:rFonts w:ascii="Times New Roman" w:hAnsi="Times New Roman"/>
          <w:sz w:val="20"/>
          <w:szCs w:val="20"/>
        </w:rPr>
      </w:pPr>
      <w:r w:rsidRPr="007509CF">
        <w:rPr>
          <w:rFonts w:ascii="Times New Roman" w:hAnsi="Times New Roman"/>
          <w:i/>
          <w:iCs/>
          <w:sz w:val="20"/>
          <w:szCs w:val="20"/>
        </w:rPr>
        <w:t>Culross v Strategic Turnaround</w:t>
      </w:r>
      <w:r w:rsidRPr="007509CF">
        <w:rPr>
          <w:rFonts w:ascii="Times New Roman" w:hAnsi="Times New Roman"/>
          <w:sz w:val="20"/>
          <w:szCs w:val="20"/>
        </w:rPr>
        <w:t xml:space="preserve"> [2010] UKPC 33 (dealing with the alteration of an investor</w:t>
      </w:r>
      <w:r w:rsidR="007509CF">
        <w:rPr>
          <w:rFonts w:ascii="Times New Roman" w:hAnsi="Times New Roman"/>
          <w:sz w:val="20"/>
          <w:szCs w:val="20"/>
        </w:rPr>
        <w:t>’</w:t>
      </w:r>
      <w:r w:rsidRPr="007509CF">
        <w:rPr>
          <w:rFonts w:ascii="Times New Roman" w:hAnsi="Times New Roman"/>
          <w:sz w:val="20"/>
          <w:szCs w:val="20"/>
        </w:rPr>
        <w:t>s status from shareholder to creditor upon redemption of shares).</w:t>
      </w:r>
    </w:p>
    <w:p w:rsidR="00342AC6" w:rsidRPr="007509CF" w:rsidRDefault="00342AC6" w:rsidP="00342AC6">
      <w:pPr>
        <w:suppressAutoHyphens/>
        <w:autoSpaceDE w:val="0"/>
        <w:autoSpaceDN w:val="0"/>
        <w:adjustRightInd w:val="0"/>
        <w:spacing w:before="227" w:after="57" w:line="288" w:lineRule="auto"/>
        <w:ind w:left="170"/>
        <w:jc w:val="left"/>
        <w:textAlignment w:val="center"/>
        <w:rPr>
          <w:rFonts w:ascii="Times New Roman" w:hAnsi="Times New Roman"/>
          <w:b/>
          <w:bCs/>
          <w:sz w:val="20"/>
          <w:szCs w:val="20"/>
        </w:rPr>
      </w:pPr>
      <w:r w:rsidRPr="007509CF">
        <w:rPr>
          <w:rFonts w:ascii="Times New Roman" w:hAnsi="Times New Roman"/>
          <w:b/>
          <w:bCs/>
          <w:sz w:val="20"/>
          <w:szCs w:val="20"/>
        </w:rPr>
        <w:t>Privilege and disclosure</w:t>
      </w:r>
    </w:p>
    <w:p w:rsidR="003B57DF" w:rsidRPr="007509CF" w:rsidRDefault="00342AC6" w:rsidP="00342AC6">
      <w:pPr>
        <w:suppressAutoHyphens/>
        <w:autoSpaceDE w:val="0"/>
        <w:autoSpaceDN w:val="0"/>
        <w:adjustRightInd w:val="0"/>
        <w:spacing w:before="57" w:line="288" w:lineRule="auto"/>
        <w:textAlignment w:val="center"/>
        <w:rPr>
          <w:rFonts w:ascii="Times New Roman" w:hAnsi="Times New Roman"/>
          <w:sz w:val="20"/>
          <w:szCs w:val="20"/>
        </w:rPr>
      </w:pPr>
      <w:r w:rsidRPr="007509CF">
        <w:rPr>
          <w:rFonts w:ascii="Times New Roman" w:hAnsi="Times New Roman"/>
          <w:sz w:val="20"/>
          <w:szCs w:val="20"/>
        </w:rPr>
        <w:t xml:space="preserve">Cayman Islands law follows the traditional common law approach to both privilege and disclosure.  Privilege will apply to legal advice generally and also to communications made in contemplation of litigation. </w:t>
      </w:r>
      <w:r w:rsidR="007509CF">
        <w:rPr>
          <w:rFonts w:ascii="Times New Roman" w:hAnsi="Times New Roman"/>
          <w:sz w:val="20"/>
          <w:szCs w:val="20"/>
        </w:rPr>
        <w:t xml:space="preserve"> </w:t>
      </w:r>
      <w:r w:rsidR="002013FE">
        <w:rPr>
          <w:rFonts w:ascii="Times New Roman" w:hAnsi="Times New Roman"/>
          <w:sz w:val="20"/>
          <w:szCs w:val="20"/>
        </w:rPr>
        <w:t>However, t</w:t>
      </w:r>
      <w:r w:rsidR="003B57DF" w:rsidRPr="007509CF">
        <w:rPr>
          <w:rFonts w:ascii="Times New Roman" w:hAnsi="Times New Roman"/>
          <w:sz w:val="20"/>
          <w:szCs w:val="20"/>
        </w:rPr>
        <w:t xml:space="preserve">here are exceptions.  For example, </w:t>
      </w:r>
      <w:r w:rsidR="008F5498" w:rsidRPr="007509CF">
        <w:rPr>
          <w:rFonts w:ascii="Times New Roman" w:hAnsi="Times New Roman"/>
          <w:sz w:val="20"/>
          <w:szCs w:val="20"/>
        </w:rPr>
        <w:t xml:space="preserve">legal advice given to a company will not normally be privileged as against shareholders.  Documents created for a fraudulent purpose will never be privileged; this is known as the iniquity rule. </w:t>
      </w:r>
      <w:r w:rsidR="003B57DF" w:rsidRPr="007509CF">
        <w:rPr>
          <w:rFonts w:ascii="Times New Roman" w:hAnsi="Times New Roman"/>
          <w:sz w:val="20"/>
          <w:szCs w:val="20"/>
        </w:rPr>
        <w:t xml:space="preserve">   </w:t>
      </w:r>
      <w:r w:rsidRPr="007509CF">
        <w:rPr>
          <w:rFonts w:ascii="Times New Roman" w:hAnsi="Times New Roman"/>
          <w:sz w:val="20"/>
          <w:szCs w:val="20"/>
        </w:rPr>
        <w:t xml:space="preserve"> </w:t>
      </w:r>
    </w:p>
    <w:p w:rsidR="00342AC6" w:rsidRPr="007509CF" w:rsidRDefault="00342AC6" w:rsidP="00342AC6">
      <w:pPr>
        <w:suppressAutoHyphens/>
        <w:autoSpaceDE w:val="0"/>
        <w:autoSpaceDN w:val="0"/>
        <w:adjustRightInd w:val="0"/>
        <w:spacing w:before="57" w:line="288" w:lineRule="auto"/>
        <w:textAlignment w:val="center"/>
        <w:rPr>
          <w:rFonts w:ascii="Times New Roman" w:hAnsi="Times New Roman"/>
          <w:sz w:val="20"/>
          <w:szCs w:val="20"/>
        </w:rPr>
      </w:pPr>
      <w:r w:rsidRPr="007509CF">
        <w:rPr>
          <w:rFonts w:ascii="Times New Roman" w:hAnsi="Times New Roman"/>
          <w:sz w:val="20"/>
          <w:szCs w:val="20"/>
        </w:rPr>
        <w:t xml:space="preserve">During the course of litigation, all parties are under an automatic and strictly enforced obligation to disclose documents within their control that relate to the matters at issue.  This includes documents that are adverse to their case and that may lead to a </w:t>
      </w:r>
      <w:r w:rsidR="007509CF">
        <w:rPr>
          <w:rFonts w:ascii="Times New Roman" w:hAnsi="Times New Roman"/>
          <w:sz w:val="20"/>
          <w:szCs w:val="20"/>
        </w:rPr>
        <w:t>“</w:t>
      </w:r>
      <w:r w:rsidRPr="007509CF">
        <w:rPr>
          <w:rFonts w:ascii="Times New Roman" w:hAnsi="Times New Roman"/>
          <w:sz w:val="20"/>
          <w:szCs w:val="20"/>
        </w:rPr>
        <w:t>train of enquiry</w:t>
      </w:r>
      <w:r w:rsidR="007509CF">
        <w:rPr>
          <w:rFonts w:ascii="Times New Roman" w:hAnsi="Times New Roman"/>
          <w:sz w:val="20"/>
          <w:szCs w:val="20"/>
        </w:rPr>
        <w:t>”</w:t>
      </w:r>
      <w:r w:rsidRPr="007509CF">
        <w:rPr>
          <w:rFonts w:ascii="Times New Roman" w:hAnsi="Times New Roman"/>
          <w:sz w:val="20"/>
          <w:szCs w:val="20"/>
        </w:rPr>
        <w:t>.  Parties must also identify documents that were once but are no longer within their control; for example, if they have been lost or destroyed.  The disclosure obligation extends to electronically stored documents and data.</w:t>
      </w:r>
    </w:p>
    <w:p w:rsidR="00E21B41" w:rsidRPr="007509CF" w:rsidRDefault="00342AC6" w:rsidP="00342AC6">
      <w:pPr>
        <w:suppressAutoHyphens/>
        <w:autoSpaceDE w:val="0"/>
        <w:autoSpaceDN w:val="0"/>
        <w:adjustRightInd w:val="0"/>
        <w:spacing w:before="57" w:line="288" w:lineRule="auto"/>
        <w:textAlignment w:val="center"/>
        <w:rPr>
          <w:rFonts w:ascii="Times New Roman" w:hAnsi="Times New Roman"/>
          <w:spacing w:val="1"/>
          <w:sz w:val="20"/>
          <w:szCs w:val="20"/>
        </w:rPr>
      </w:pPr>
      <w:r w:rsidRPr="007509CF">
        <w:rPr>
          <w:rFonts w:ascii="Times New Roman" w:hAnsi="Times New Roman"/>
          <w:sz w:val="20"/>
          <w:szCs w:val="20"/>
        </w:rPr>
        <w:t xml:space="preserve">Offshore jurisdictions such as the Cayman Islands are often unfairly labelled </w:t>
      </w:r>
      <w:r w:rsidR="007509CF">
        <w:rPr>
          <w:rFonts w:ascii="Times New Roman" w:hAnsi="Times New Roman"/>
          <w:sz w:val="20"/>
          <w:szCs w:val="20"/>
        </w:rPr>
        <w:t>“</w:t>
      </w:r>
      <w:r w:rsidRPr="007509CF">
        <w:rPr>
          <w:rFonts w:ascii="Times New Roman" w:hAnsi="Times New Roman"/>
          <w:sz w:val="20"/>
          <w:szCs w:val="20"/>
        </w:rPr>
        <w:t>secrecy</w:t>
      </w:r>
      <w:r w:rsidR="007509CF">
        <w:rPr>
          <w:rFonts w:ascii="Times New Roman" w:hAnsi="Times New Roman"/>
          <w:sz w:val="20"/>
          <w:szCs w:val="20"/>
        </w:rPr>
        <w:t>”</w:t>
      </w:r>
      <w:r w:rsidRPr="007509CF">
        <w:rPr>
          <w:rFonts w:ascii="Times New Roman" w:hAnsi="Times New Roman"/>
          <w:sz w:val="20"/>
          <w:szCs w:val="20"/>
        </w:rPr>
        <w:t xml:space="preserve"> jurisdictions.  In the litigation context, confidentiality is unlikely ever to justify failing to disclose a document.  </w:t>
      </w:r>
      <w:r w:rsidRPr="007509CF">
        <w:rPr>
          <w:rFonts w:ascii="Times New Roman" w:hAnsi="Times New Roman"/>
          <w:spacing w:val="1"/>
          <w:sz w:val="20"/>
          <w:szCs w:val="20"/>
        </w:rPr>
        <w:t xml:space="preserve">Furthermore, most court hearings and especially trials are heard in open court.  This means that any member of the public or interested party may attend court and in some cases may be entitled to request disclosure of documents read by the judge under the principle of </w:t>
      </w:r>
      <w:r w:rsidR="007509CF">
        <w:rPr>
          <w:rFonts w:ascii="Times New Roman" w:hAnsi="Times New Roman"/>
          <w:spacing w:val="1"/>
          <w:sz w:val="20"/>
          <w:szCs w:val="20"/>
        </w:rPr>
        <w:t>“</w:t>
      </w:r>
      <w:r w:rsidRPr="007509CF">
        <w:rPr>
          <w:rFonts w:ascii="Times New Roman" w:hAnsi="Times New Roman"/>
          <w:spacing w:val="1"/>
          <w:sz w:val="20"/>
          <w:szCs w:val="20"/>
        </w:rPr>
        <w:t>open justice</w:t>
      </w:r>
      <w:r w:rsidR="007509CF">
        <w:rPr>
          <w:rFonts w:ascii="Times New Roman" w:hAnsi="Times New Roman"/>
          <w:spacing w:val="1"/>
          <w:sz w:val="20"/>
          <w:szCs w:val="20"/>
        </w:rPr>
        <w:t>”</w:t>
      </w:r>
      <w:r w:rsidRPr="007509CF">
        <w:rPr>
          <w:rFonts w:ascii="Times New Roman" w:hAnsi="Times New Roman"/>
          <w:spacing w:val="1"/>
          <w:sz w:val="20"/>
          <w:szCs w:val="20"/>
        </w:rPr>
        <w:t>, even though they are not party to the claim (</w:t>
      </w:r>
      <w:r w:rsidRPr="007509CF">
        <w:rPr>
          <w:rFonts w:ascii="Times New Roman" w:hAnsi="Times New Roman"/>
          <w:i/>
          <w:iCs/>
          <w:spacing w:val="1"/>
          <w:sz w:val="20"/>
          <w:szCs w:val="20"/>
        </w:rPr>
        <w:t>The International Banking Corporation BSC v AHAB</w:t>
      </w:r>
      <w:r w:rsidRPr="007509CF">
        <w:rPr>
          <w:rFonts w:ascii="Times New Roman" w:hAnsi="Times New Roman"/>
          <w:spacing w:val="1"/>
          <w:sz w:val="20"/>
          <w:szCs w:val="20"/>
        </w:rPr>
        <w:t xml:space="preserve"> CICA No 28 of 2017).  </w:t>
      </w:r>
    </w:p>
    <w:p w:rsidR="00E21B41" w:rsidRPr="007509CF" w:rsidRDefault="00E21B41" w:rsidP="00E21B41">
      <w:pPr>
        <w:rPr>
          <w:rFonts w:ascii="Times New Roman" w:hAnsi="Times New Roman"/>
          <w:sz w:val="20"/>
          <w:szCs w:val="20"/>
        </w:rPr>
      </w:pPr>
      <w:r w:rsidRPr="007509CF">
        <w:rPr>
          <w:rFonts w:ascii="Times New Roman" w:hAnsi="Times New Roman"/>
          <w:spacing w:val="1"/>
          <w:sz w:val="20"/>
          <w:szCs w:val="20"/>
        </w:rPr>
        <w:t>Prior to trial</w:t>
      </w:r>
      <w:r w:rsidR="002013FE">
        <w:rPr>
          <w:rFonts w:ascii="Times New Roman" w:hAnsi="Times New Roman"/>
          <w:spacing w:val="1"/>
          <w:sz w:val="20"/>
          <w:szCs w:val="20"/>
        </w:rPr>
        <w:t>,</w:t>
      </w:r>
      <w:r w:rsidRPr="007509CF">
        <w:rPr>
          <w:rFonts w:ascii="Times New Roman" w:hAnsi="Times New Roman"/>
          <w:spacing w:val="1"/>
          <w:sz w:val="20"/>
          <w:szCs w:val="20"/>
        </w:rPr>
        <w:t xml:space="preserve"> however</w:t>
      </w:r>
      <w:r w:rsidR="002013FE">
        <w:rPr>
          <w:rFonts w:ascii="Times New Roman" w:hAnsi="Times New Roman"/>
          <w:spacing w:val="1"/>
          <w:sz w:val="20"/>
          <w:szCs w:val="20"/>
        </w:rPr>
        <w:t>,</w:t>
      </w:r>
      <w:r w:rsidRPr="007509CF">
        <w:rPr>
          <w:rFonts w:ascii="Times New Roman" w:hAnsi="Times New Roman"/>
          <w:spacing w:val="1"/>
          <w:sz w:val="20"/>
          <w:szCs w:val="20"/>
        </w:rPr>
        <w:t xml:space="preserve"> a third party</w:t>
      </w:r>
      <w:r w:rsidR="007509CF">
        <w:rPr>
          <w:rFonts w:ascii="Times New Roman" w:hAnsi="Times New Roman"/>
          <w:spacing w:val="1"/>
          <w:sz w:val="20"/>
          <w:szCs w:val="20"/>
        </w:rPr>
        <w:t>’</w:t>
      </w:r>
      <w:r w:rsidRPr="007509CF">
        <w:rPr>
          <w:rFonts w:ascii="Times New Roman" w:hAnsi="Times New Roman"/>
          <w:spacing w:val="1"/>
          <w:sz w:val="20"/>
          <w:szCs w:val="20"/>
        </w:rPr>
        <w:t xml:space="preserve">s rights to participate in </w:t>
      </w:r>
      <w:r w:rsidR="00EF0C71" w:rsidRPr="007509CF">
        <w:rPr>
          <w:rFonts w:ascii="Times New Roman" w:hAnsi="Times New Roman"/>
          <w:spacing w:val="1"/>
          <w:sz w:val="20"/>
          <w:szCs w:val="20"/>
        </w:rPr>
        <w:t xml:space="preserve">proceedings </w:t>
      </w:r>
      <w:r w:rsidRPr="007509CF">
        <w:rPr>
          <w:rFonts w:ascii="Times New Roman" w:hAnsi="Times New Roman"/>
          <w:spacing w:val="1"/>
          <w:sz w:val="20"/>
          <w:szCs w:val="20"/>
        </w:rPr>
        <w:t xml:space="preserve">or access documents may be more limited.  A third party has no automatic right to participate as a party to proceedings unless the </w:t>
      </w:r>
      <w:r w:rsidR="0010376C" w:rsidRPr="007509CF">
        <w:rPr>
          <w:rFonts w:ascii="Times New Roman" w:hAnsi="Times New Roman"/>
          <w:spacing w:val="1"/>
          <w:sz w:val="20"/>
          <w:szCs w:val="20"/>
        </w:rPr>
        <w:t>c</w:t>
      </w:r>
      <w:r w:rsidRPr="007509CF">
        <w:rPr>
          <w:rFonts w:ascii="Times New Roman" w:hAnsi="Times New Roman"/>
          <w:spacing w:val="1"/>
          <w:sz w:val="20"/>
          <w:szCs w:val="20"/>
        </w:rPr>
        <w:t xml:space="preserve">ourt gives them leave to intervene.  </w:t>
      </w:r>
      <w:r w:rsidRPr="007509CF">
        <w:rPr>
          <w:rFonts w:ascii="Times New Roman" w:hAnsi="Times New Roman"/>
          <w:sz w:val="20"/>
          <w:szCs w:val="20"/>
        </w:rPr>
        <w:t xml:space="preserve">While all originating proceedings are available for public inspection, on payment of a fee, the balance of the </w:t>
      </w:r>
      <w:r w:rsidR="0010376C" w:rsidRPr="007509CF">
        <w:rPr>
          <w:rFonts w:ascii="Times New Roman" w:hAnsi="Times New Roman"/>
          <w:sz w:val="20"/>
          <w:szCs w:val="20"/>
        </w:rPr>
        <w:t>c</w:t>
      </w:r>
      <w:r w:rsidRPr="007509CF">
        <w:rPr>
          <w:rFonts w:ascii="Times New Roman" w:hAnsi="Times New Roman"/>
          <w:sz w:val="20"/>
          <w:szCs w:val="20"/>
        </w:rPr>
        <w:t>ourt file is open to inspection only by the parties to the proceeding.</w:t>
      </w:r>
      <w:r w:rsidR="007509CF">
        <w:rPr>
          <w:rFonts w:ascii="Times New Roman" w:hAnsi="Times New Roman"/>
          <w:sz w:val="20"/>
          <w:szCs w:val="20"/>
        </w:rPr>
        <w:t xml:space="preserve"> </w:t>
      </w:r>
      <w:r w:rsidRPr="007509CF">
        <w:rPr>
          <w:rFonts w:ascii="Times New Roman" w:hAnsi="Times New Roman"/>
          <w:sz w:val="20"/>
          <w:szCs w:val="20"/>
        </w:rPr>
        <w:t xml:space="preserve"> Further, where any matters arising in the proceedings are particularly sensitive or confidential, the </w:t>
      </w:r>
      <w:r w:rsidR="0010376C" w:rsidRPr="007509CF">
        <w:rPr>
          <w:rFonts w:ascii="Times New Roman" w:hAnsi="Times New Roman"/>
          <w:sz w:val="20"/>
          <w:szCs w:val="20"/>
        </w:rPr>
        <w:t>c</w:t>
      </w:r>
      <w:r w:rsidRPr="007509CF">
        <w:rPr>
          <w:rFonts w:ascii="Times New Roman" w:hAnsi="Times New Roman"/>
          <w:sz w:val="20"/>
          <w:szCs w:val="20"/>
        </w:rPr>
        <w:t xml:space="preserve">ourt may and sometimes does make an order that the </w:t>
      </w:r>
      <w:r w:rsidR="0010376C" w:rsidRPr="007509CF">
        <w:rPr>
          <w:rFonts w:ascii="Times New Roman" w:hAnsi="Times New Roman"/>
          <w:sz w:val="20"/>
          <w:szCs w:val="20"/>
        </w:rPr>
        <w:t>c</w:t>
      </w:r>
      <w:r w:rsidRPr="007509CF">
        <w:rPr>
          <w:rFonts w:ascii="Times New Roman" w:hAnsi="Times New Roman"/>
          <w:sz w:val="20"/>
          <w:szCs w:val="20"/>
        </w:rPr>
        <w:t xml:space="preserve">ourt file shall not be open to inspection either by a party or by any other person except with the prior leave of the </w:t>
      </w:r>
      <w:r w:rsidR="0010376C" w:rsidRPr="007509CF">
        <w:rPr>
          <w:rFonts w:ascii="Times New Roman" w:hAnsi="Times New Roman"/>
          <w:sz w:val="20"/>
          <w:szCs w:val="20"/>
        </w:rPr>
        <w:t>c</w:t>
      </w:r>
      <w:r w:rsidRPr="007509CF">
        <w:rPr>
          <w:rFonts w:ascii="Times New Roman" w:hAnsi="Times New Roman"/>
          <w:sz w:val="20"/>
          <w:szCs w:val="20"/>
        </w:rPr>
        <w:t xml:space="preserve">ourt. </w:t>
      </w:r>
      <w:r w:rsidR="007509CF">
        <w:rPr>
          <w:rFonts w:ascii="Times New Roman" w:hAnsi="Times New Roman"/>
          <w:sz w:val="20"/>
          <w:szCs w:val="20"/>
        </w:rPr>
        <w:t xml:space="preserve"> </w:t>
      </w:r>
      <w:r w:rsidRPr="007509CF">
        <w:rPr>
          <w:rFonts w:ascii="Times New Roman" w:hAnsi="Times New Roman"/>
          <w:sz w:val="20"/>
          <w:szCs w:val="20"/>
        </w:rPr>
        <w:t xml:space="preserve">In those cases, the </w:t>
      </w:r>
      <w:r w:rsidR="0010376C" w:rsidRPr="007509CF">
        <w:rPr>
          <w:rFonts w:ascii="Times New Roman" w:hAnsi="Times New Roman"/>
          <w:sz w:val="20"/>
          <w:szCs w:val="20"/>
        </w:rPr>
        <w:t>c</w:t>
      </w:r>
      <w:r w:rsidRPr="007509CF">
        <w:rPr>
          <w:rFonts w:ascii="Times New Roman" w:hAnsi="Times New Roman"/>
          <w:sz w:val="20"/>
          <w:szCs w:val="20"/>
        </w:rPr>
        <w:t>ourt file will be marked as sealed and access restricted accordingly.</w:t>
      </w:r>
    </w:p>
    <w:p w:rsidR="00342AC6" w:rsidRPr="007509CF" w:rsidRDefault="00342AC6" w:rsidP="00342AC6">
      <w:pPr>
        <w:suppressAutoHyphens/>
        <w:autoSpaceDE w:val="0"/>
        <w:autoSpaceDN w:val="0"/>
        <w:adjustRightInd w:val="0"/>
        <w:spacing w:before="227" w:after="57" w:line="288" w:lineRule="auto"/>
        <w:ind w:left="170"/>
        <w:jc w:val="left"/>
        <w:textAlignment w:val="center"/>
        <w:rPr>
          <w:rFonts w:ascii="Times New Roman" w:hAnsi="Times New Roman"/>
          <w:b/>
          <w:bCs/>
          <w:sz w:val="20"/>
          <w:szCs w:val="20"/>
        </w:rPr>
      </w:pPr>
      <w:r w:rsidRPr="007509CF">
        <w:rPr>
          <w:rFonts w:ascii="Times New Roman" w:hAnsi="Times New Roman"/>
          <w:b/>
          <w:bCs/>
          <w:sz w:val="20"/>
          <w:szCs w:val="20"/>
        </w:rPr>
        <w:t>Evidence</w:t>
      </w:r>
    </w:p>
    <w:p w:rsidR="00342AC6" w:rsidRPr="007509CF" w:rsidRDefault="00342AC6" w:rsidP="00342AC6">
      <w:pPr>
        <w:suppressAutoHyphens/>
        <w:autoSpaceDE w:val="0"/>
        <w:autoSpaceDN w:val="0"/>
        <w:adjustRightInd w:val="0"/>
        <w:spacing w:before="57" w:line="288" w:lineRule="auto"/>
        <w:textAlignment w:val="center"/>
        <w:rPr>
          <w:rFonts w:ascii="Times New Roman" w:hAnsi="Times New Roman"/>
          <w:sz w:val="20"/>
          <w:szCs w:val="20"/>
        </w:rPr>
      </w:pPr>
      <w:r w:rsidRPr="007509CF">
        <w:rPr>
          <w:rFonts w:ascii="Times New Roman" w:hAnsi="Times New Roman"/>
          <w:sz w:val="20"/>
          <w:szCs w:val="20"/>
        </w:rPr>
        <w:t>Evidence is provided by witnesses and experts (where required</w:t>
      </w:r>
      <w:r w:rsidR="0004464C" w:rsidRPr="007509CF">
        <w:rPr>
          <w:rFonts w:ascii="Times New Roman" w:hAnsi="Times New Roman"/>
          <w:sz w:val="20"/>
          <w:szCs w:val="20"/>
        </w:rPr>
        <w:t xml:space="preserve"> and with leave of the court</w:t>
      </w:r>
      <w:r w:rsidRPr="007509CF">
        <w:rPr>
          <w:rFonts w:ascii="Times New Roman" w:hAnsi="Times New Roman"/>
          <w:sz w:val="20"/>
          <w:szCs w:val="20"/>
        </w:rPr>
        <w:t>).  A party can only rely on evidence at trial of a witness who has provided a signed witness statement.  Signed witness statements will be accepted at trial as the witnesses</w:t>
      </w:r>
      <w:r w:rsidR="007509CF">
        <w:rPr>
          <w:rFonts w:ascii="Times New Roman" w:hAnsi="Times New Roman"/>
          <w:sz w:val="20"/>
          <w:szCs w:val="20"/>
        </w:rPr>
        <w:t>’</w:t>
      </w:r>
      <w:r w:rsidRPr="007509CF">
        <w:rPr>
          <w:rFonts w:ascii="Times New Roman" w:hAnsi="Times New Roman"/>
          <w:sz w:val="20"/>
          <w:szCs w:val="20"/>
        </w:rPr>
        <w:t xml:space="preserve"> direct evidence without the need for that evidence to be read out in court, but witnesses can be cross-examined in trial.  For most court hearings other than the substantive trial, evidence is primarily given by way of written affidavit.  </w:t>
      </w:r>
    </w:p>
    <w:p w:rsidR="0004464C" w:rsidRPr="007509CF" w:rsidRDefault="0004464C" w:rsidP="00342AC6">
      <w:pPr>
        <w:suppressAutoHyphens/>
        <w:autoSpaceDE w:val="0"/>
        <w:autoSpaceDN w:val="0"/>
        <w:adjustRightInd w:val="0"/>
        <w:spacing w:before="57" w:line="288" w:lineRule="auto"/>
        <w:textAlignment w:val="center"/>
        <w:rPr>
          <w:rFonts w:ascii="Times New Roman" w:hAnsi="Times New Roman"/>
          <w:sz w:val="20"/>
          <w:szCs w:val="20"/>
        </w:rPr>
      </w:pPr>
      <w:r w:rsidRPr="007509CF">
        <w:rPr>
          <w:rFonts w:ascii="Times New Roman" w:hAnsi="Times New Roman"/>
          <w:sz w:val="20"/>
          <w:szCs w:val="20"/>
        </w:rPr>
        <w:t>It is also possible to obtain evidence by deposition and/or disclosure of documents from parties based in the Cayman Islands in support of proceedings on other jurisdictions.  Evidence can also be obtained from third parties in some circumstances</w:t>
      </w:r>
      <w:r w:rsidR="002013FE">
        <w:rPr>
          <w:rFonts w:ascii="Times New Roman" w:hAnsi="Times New Roman"/>
          <w:sz w:val="20"/>
          <w:szCs w:val="20"/>
        </w:rPr>
        <w:t>;</w:t>
      </w:r>
      <w:r w:rsidRPr="007509CF">
        <w:rPr>
          <w:rFonts w:ascii="Times New Roman" w:hAnsi="Times New Roman"/>
          <w:sz w:val="20"/>
          <w:szCs w:val="20"/>
        </w:rPr>
        <w:t xml:space="preserve"> for example</w:t>
      </w:r>
      <w:r w:rsidR="002013FE">
        <w:rPr>
          <w:rFonts w:ascii="Times New Roman" w:hAnsi="Times New Roman"/>
          <w:sz w:val="20"/>
          <w:szCs w:val="20"/>
        </w:rPr>
        <w:t>,</w:t>
      </w:r>
      <w:r w:rsidRPr="007509CF">
        <w:rPr>
          <w:rFonts w:ascii="Times New Roman" w:hAnsi="Times New Roman"/>
          <w:sz w:val="20"/>
          <w:szCs w:val="20"/>
        </w:rPr>
        <w:t xml:space="preserve"> where it is necessary to trace the movement of funds through bank accounts, </w:t>
      </w:r>
      <w:r w:rsidR="002013FE">
        <w:rPr>
          <w:rFonts w:ascii="Times New Roman" w:hAnsi="Times New Roman"/>
          <w:sz w:val="20"/>
          <w:szCs w:val="20"/>
        </w:rPr>
        <w:t xml:space="preserve">or </w:t>
      </w:r>
      <w:r w:rsidRPr="007509CF">
        <w:rPr>
          <w:rFonts w:ascii="Times New Roman" w:hAnsi="Times New Roman"/>
          <w:sz w:val="20"/>
          <w:szCs w:val="20"/>
        </w:rPr>
        <w:t xml:space="preserve">where evidence is required in order to identify a </w:t>
      </w:r>
      <w:r w:rsidR="007509CF">
        <w:rPr>
          <w:rFonts w:ascii="Times New Roman" w:hAnsi="Times New Roman"/>
          <w:sz w:val="20"/>
          <w:szCs w:val="20"/>
        </w:rPr>
        <w:t>“</w:t>
      </w:r>
      <w:r w:rsidRPr="007509CF">
        <w:rPr>
          <w:rFonts w:ascii="Times New Roman" w:hAnsi="Times New Roman"/>
          <w:sz w:val="20"/>
          <w:szCs w:val="20"/>
        </w:rPr>
        <w:t>wrongdoer</w:t>
      </w:r>
      <w:r w:rsidR="007509CF">
        <w:rPr>
          <w:rFonts w:ascii="Times New Roman" w:hAnsi="Times New Roman"/>
          <w:sz w:val="20"/>
          <w:szCs w:val="20"/>
        </w:rPr>
        <w:t>”</w:t>
      </w:r>
      <w:r w:rsidRPr="007509CF">
        <w:rPr>
          <w:rFonts w:ascii="Times New Roman" w:hAnsi="Times New Roman"/>
          <w:sz w:val="20"/>
          <w:szCs w:val="20"/>
        </w:rPr>
        <w:t xml:space="preserve"> or to formulate a claim.   </w:t>
      </w:r>
    </w:p>
    <w:p w:rsidR="00342AC6" w:rsidRPr="007509CF" w:rsidRDefault="00342AC6" w:rsidP="00342AC6">
      <w:pPr>
        <w:suppressAutoHyphens/>
        <w:autoSpaceDE w:val="0"/>
        <w:autoSpaceDN w:val="0"/>
        <w:adjustRightInd w:val="0"/>
        <w:spacing w:before="57" w:line="288" w:lineRule="auto"/>
        <w:textAlignment w:val="center"/>
        <w:rPr>
          <w:rFonts w:ascii="Times New Roman" w:hAnsi="Times New Roman"/>
          <w:sz w:val="20"/>
          <w:szCs w:val="20"/>
        </w:rPr>
      </w:pPr>
      <w:r w:rsidRPr="007509CF">
        <w:rPr>
          <w:rFonts w:ascii="Times New Roman" w:hAnsi="Times New Roman"/>
          <w:sz w:val="20"/>
          <w:szCs w:val="20"/>
        </w:rPr>
        <w:t xml:space="preserve">Experts are normally appointed by the party who intends to rely on them.  The court can, however, appoint an independent expert to assist in its decision-making.  Experts usually exchange written reports and may be directed to provide a joint expert report to narrow the issues at dispute.  Experts must be independent and uninfluenced by the matter or the party instructing them.  The expert owes a duty to help the court and must only opine on matters within their sphere of knowledge. </w:t>
      </w:r>
    </w:p>
    <w:p w:rsidR="00342AC6" w:rsidRPr="007509CF" w:rsidRDefault="00342AC6" w:rsidP="00342AC6">
      <w:pPr>
        <w:suppressAutoHyphens/>
        <w:autoSpaceDE w:val="0"/>
        <w:autoSpaceDN w:val="0"/>
        <w:adjustRightInd w:val="0"/>
        <w:spacing w:before="227" w:after="57" w:line="288" w:lineRule="auto"/>
        <w:ind w:left="170"/>
        <w:jc w:val="left"/>
        <w:textAlignment w:val="center"/>
        <w:rPr>
          <w:rFonts w:ascii="Times New Roman" w:hAnsi="Times New Roman"/>
          <w:b/>
          <w:bCs/>
          <w:sz w:val="20"/>
          <w:szCs w:val="20"/>
        </w:rPr>
      </w:pPr>
      <w:r w:rsidRPr="007509CF">
        <w:rPr>
          <w:rFonts w:ascii="Times New Roman" w:hAnsi="Times New Roman"/>
          <w:b/>
          <w:bCs/>
          <w:sz w:val="20"/>
          <w:szCs w:val="20"/>
        </w:rPr>
        <w:t>Costs and litigation funding</w:t>
      </w:r>
    </w:p>
    <w:p w:rsidR="00342AC6" w:rsidRPr="007509CF" w:rsidRDefault="00342AC6" w:rsidP="00342AC6">
      <w:pPr>
        <w:suppressAutoHyphens/>
        <w:autoSpaceDE w:val="0"/>
        <w:autoSpaceDN w:val="0"/>
        <w:adjustRightInd w:val="0"/>
        <w:spacing w:before="57" w:line="288" w:lineRule="auto"/>
        <w:textAlignment w:val="center"/>
        <w:rPr>
          <w:rFonts w:ascii="Times New Roman" w:hAnsi="Times New Roman"/>
          <w:sz w:val="20"/>
          <w:szCs w:val="20"/>
        </w:rPr>
      </w:pPr>
      <w:r w:rsidRPr="007509CF">
        <w:rPr>
          <w:rFonts w:ascii="Times New Roman" w:hAnsi="Times New Roman"/>
          <w:sz w:val="20"/>
          <w:szCs w:val="20"/>
        </w:rPr>
        <w:t xml:space="preserve">Courts in the Cayman Islands follow the principle of </w:t>
      </w:r>
      <w:r w:rsidR="007509CF">
        <w:rPr>
          <w:rFonts w:ascii="Times New Roman" w:hAnsi="Times New Roman"/>
          <w:sz w:val="20"/>
          <w:szCs w:val="20"/>
        </w:rPr>
        <w:t>“</w:t>
      </w:r>
      <w:r w:rsidRPr="007509CF">
        <w:rPr>
          <w:rFonts w:ascii="Times New Roman" w:hAnsi="Times New Roman"/>
          <w:sz w:val="20"/>
          <w:szCs w:val="20"/>
        </w:rPr>
        <w:t>loser pays</w:t>
      </w:r>
      <w:r w:rsidR="007509CF">
        <w:rPr>
          <w:rFonts w:ascii="Times New Roman" w:hAnsi="Times New Roman"/>
          <w:sz w:val="20"/>
          <w:szCs w:val="20"/>
        </w:rPr>
        <w:t>”</w:t>
      </w:r>
      <w:r w:rsidRPr="007509CF">
        <w:rPr>
          <w:rFonts w:ascii="Times New Roman" w:hAnsi="Times New Roman"/>
          <w:sz w:val="20"/>
          <w:szCs w:val="20"/>
        </w:rPr>
        <w:t xml:space="preserve"> in most situations.  The winner generally has to wait until the conclusion of the case to receive payment, and only then after the amount has been assessed by the court in a process called </w:t>
      </w:r>
      <w:r w:rsidR="007509CF">
        <w:rPr>
          <w:rFonts w:ascii="Times New Roman" w:hAnsi="Times New Roman"/>
          <w:sz w:val="20"/>
          <w:szCs w:val="20"/>
        </w:rPr>
        <w:t>“</w:t>
      </w:r>
      <w:r w:rsidRPr="007509CF">
        <w:rPr>
          <w:rFonts w:ascii="Times New Roman" w:hAnsi="Times New Roman"/>
          <w:sz w:val="20"/>
          <w:szCs w:val="20"/>
        </w:rPr>
        <w:t>taxation</w:t>
      </w:r>
      <w:r w:rsidR="007509CF">
        <w:rPr>
          <w:rFonts w:ascii="Times New Roman" w:hAnsi="Times New Roman"/>
          <w:sz w:val="20"/>
          <w:szCs w:val="20"/>
        </w:rPr>
        <w:t>”</w:t>
      </w:r>
      <w:r w:rsidRPr="007509CF">
        <w:rPr>
          <w:rFonts w:ascii="Times New Roman" w:hAnsi="Times New Roman"/>
          <w:sz w:val="20"/>
          <w:szCs w:val="20"/>
        </w:rPr>
        <w:t>.  It is possible in some circumstances to request a payment on account prior to taxation and/or the provision of security for costs at an earlier stage in the proceedings if there is a demonstrable risk that a costs order will not be paid.  Defendants may make a payment into court</w:t>
      </w:r>
      <w:r w:rsidR="002013FE">
        <w:rPr>
          <w:rFonts w:ascii="Times New Roman" w:hAnsi="Times New Roman"/>
          <w:sz w:val="20"/>
          <w:szCs w:val="20"/>
        </w:rPr>
        <w:t>,</w:t>
      </w:r>
      <w:r w:rsidRPr="007509CF">
        <w:rPr>
          <w:rFonts w:ascii="Times New Roman" w:hAnsi="Times New Roman"/>
          <w:sz w:val="20"/>
          <w:szCs w:val="20"/>
        </w:rPr>
        <w:t xml:space="preserve"> which (if not beaten at trial) should result in a costs order in favour of the defendant from the deadline for acceptance onwards.</w:t>
      </w:r>
    </w:p>
    <w:p w:rsidR="0004464C" w:rsidRPr="007509CF" w:rsidRDefault="00342AC6" w:rsidP="00342AC6">
      <w:pPr>
        <w:suppressAutoHyphens/>
        <w:autoSpaceDE w:val="0"/>
        <w:autoSpaceDN w:val="0"/>
        <w:adjustRightInd w:val="0"/>
        <w:spacing w:before="57" w:line="288" w:lineRule="auto"/>
        <w:textAlignment w:val="center"/>
        <w:rPr>
          <w:rFonts w:ascii="Times New Roman" w:hAnsi="Times New Roman"/>
          <w:sz w:val="20"/>
          <w:szCs w:val="20"/>
        </w:rPr>
      </w:pPr>
      <w:r w:rsidRPr="007509CF">
        <w:rPr>
          <w:rFonts w:ascii="Times New Roman" w:hAnsi="Times New Roman"/>
          <w:sz w:val="20"/>
          <w:szCs w:val="20"/>
        </w:rPr>
        <w:t xml:space="preserve">It is also possible to ask the court to require third parties who have in fact been directing litigation behind the </w:t>
      </w:r>
      <w:r w:rsidR="007509CF">
        <w:rPr>
          <w:rFonts w:ascii="Times New Roman" w:hAnsi="Times New Roman"/>
          <w:sz w:val="20"/>
          <w:szCs w:val="20"/>
        </w:rPr>
        <w:t>“</w:t>
      </w:r>
      <w:r w:rsidRPr="007509CF">
        <w:rPr>
          <w:rFonts w:ascii="Times New Roman" w:hAnsi="Times New Roman"/>
          <w:sz w:val="20"/>
          <w:szCs w:val="20"/>
        </w:rPr>
        <w:t>cloak</w:t>
      </w:r>
      <w:r w:rsidR="007509CF">
        <w:rPr>
          <w:rFonts w:ascii="Times New Roman" w:hAnsi="Times New Roman"/>
          <w:sz w:val="20"/>
          <w:szCs w:val="20"/>
        </w:rPr>
        <w:t>”</w:t>
      </w:r>
      <w:r w:rsidRPr="007509CF">
        <w:rPr>
          <w:rFonts w:ascii="Times New Roman" w:hAnsi="Times New Roman"/>
          <w:sz w:val="20"/>
          <w:szCs w:val="20"/>
        </w:rPr>
        <w:t xml:space="preserve"> of the named party to pay the winner</w:t>
      </w:r>
      <w:r w:rsidR="007509CF">
        <w:rPr>
          <w:rFonts w:ascii="Times New Roman" w:hAnsi="Times New Roman"/>
          <w:sz w:val="20"/>
          <w:szCs w:val="20"/>
        </w:rPr>
        <w:t>’</w:t>
      </w:r>
      <w:r w:rsidRPr="007509CF">
        <w:rPr>
          <w:rFonts w:ascii="Times New Roman" w:hAnsi="Times New Roman"/>
          <w:sz w:val="20"/>
          <w:szCs w:val="20"/>
        </w:rPr>
        <w:t xml:space="preserve">s costs, provided they have been put on notice of their cost risk.  </w:t>
      </w:r>
    </w:p>
    <w:p w:rsidR="00342AC6" w:rsidRPr="007509CF" w:rsidRDefault="00342AC6" w:rsidP="00342AC6">
      <w:pPr>
        <w:suppressAutoHyphens/>
        <w:autoSpaceDE w:val="0"/>
        <w:autoSpaceDN w:val="0"/>
        <w:adjustRightInd w:val="0"/>
        <w:spacing w:before="57" w:line="288" w:lineRule="auto"/>
        <w:textAlignment w:val="center"/>
        <w:rPr>
          <w:rFonts w:ascii="Times New Roman" w:hAnsi="Times New Roman"/>
          <w:sz w:val="20"/>
          <w:szCs w:val="20"/>
        </w:rPr>
      </w:pPr>
      <w:r w:rsidRPr="007509CF">
        <w:rPr>
          <w:rFonts w:ascii="Times New Roman" w:hAnsi="Times New Roman"/>
          <w:sz w:val="20"/>
          <w:szCs w:val="20"/>
        </w:rPr>
        <w:t>Contingency fees are no</w:t>
      </w:r>
      <w:r w:rsidR="0004464C" w:rsidRPr="007509CF">
        <w:rPr>
          <w:rFonts w:ascii="Times New Roman" w:hAnsi="Times New Roman"/>
          <w:sz w:val="20"/>
          <w:szCs w:val="20"/>
        </w:rPr>
        <w:t>w</w:t>
      </w:r>
      <w:r w:rsidRPr="007509CF">
        <w:rPr>
          <w:rFonts w:ascii="Times New Roman" w:hAnsi="Times New Roman"/>
          <w:sz w:val="20"/>
          <w:szCs w:val="20"/>
        </w:rPr>
        <w:t xml:space="preserve"> </w:t>
      </w:r>
      <w:r w:rsidR="0004464C" w:rsidRPr="007509CF">
        <w:rPr>
          <w:rFonts w:ascii="Times New Roman" w:hAnsi="Times New Roman"/>
          <w:sz w:val="20"/>
          <w:szCs w:val="20"/>
        </w:rPr>
        <w:t xml:space="preserve">available </w:t>
      </w:r>
      <w:r w:rsidRPr="007509CF">
        <w:rPr>
          <w:rFonts w:ascii="Times New Roman" w:hAnsi="Times New Roman"/>
          <w:sz w:val="20"/>
          <w:szCs w:val="20"/>
        </w:rPr>
        <w:t>in the Cayman Islands.</w:t>
      </w:r>
      <w:r w:rsidR="0004464C" w:rsidRPr="007509CF">
        <w:rPr>
          <w:rFonts w:ascii="Times New Roman" w:hAnsi="Times New Roman"/>
          <w:sz w:val="20"/>
          <w:szCs w:val="20"/>
        </w:rPr>
        <w:t xml:space="preserve">  </w:t>
      </w:r>
      <w:r w:rsidR="00364253" w:rsidRPr="007509CF">
        <w:rPr>
          <w:rFonts w:ascii="Times New Roman" w:hAnsi="Times New Roman"/>
          <w:sz w:val="20"/>
          <w:szCs w:val="20"/>
        </w:rPr>
        <w:t xml:space="preserve">Under the </w:t>
      </w:r>
      <w:r w:rsidR="00364253" w:rsidRPr="007509CF">
        <w:rPr>
          <w:rFonts w:ascii="Times New Roman" w:hAnsi="Times New Roman"/>
          <w:i/>
          <w:sz w:val="20"/>
          <w:szCs w:val="20"/>
        </w:rPr>
        <w:t>Private Funding of Legal Services Act 2020</w:t>
      </w:r>
      <w:r w:rsidR="00364253" w:rsidRPr="007509CF">
        <w:rPr>
          <w:rFonts w:ascii="Times New Roman" w:hAnsi="Times New Roman"/>
          <w:sz w:val="20"/>
          <w:szCs w:val="20"/>
        </w:rPr>
        <w:t xml:space="preserve"> and related regulations, Cayman Islands attorneys may enter into contingency fee agreement</w:t>
      </w:r>
      <w:r w:rsidR="0010376C" w:rsidRPr="007509CF">
        <w:rPr>
          <w:rFonts w:ascii="Times New Roman" w:hAnsi="Times New Roman"/>
          <w:sz w:val="20"/>
          <w:szCs w:val="20"/>
        </w:rPr>
        <w:t>s</w:t>
      </w:r>
      <w:r w:rsidR="00364253" w:rsidRPr="007509CF">
        <w:rPr>
          <w:rFonts w:ascii="Times New Roman" w:hAnsi="Times New Roman"/>
          <w:sz w:val="20"/>
          <w:szCs w:val="20"/>
        </w:rPr>
        <w:t xml:space="preserve"> that provide for an uplift of double the attorney</w:t>
      </w:r>
      <w:r w:rsidR="007509CF">
        <w:rPr>
          <w:rFonts w:ascii="Times New Roman" w:hAnsi="Times New Roman"/>
          <w:sz w:val="20"/>
          <w:szCs w:val="20"/>
        </w:rPr>
        <w:t>’</w:t>
      </w:r>
      <w:r w:rsidR="00364253" w:rsidRPr="007509CF">
        <w:rPr>
          <w:rFonts w:ascii="Times New Roman" w:hAnsi="Times New Roman"/>
          <w:sz w:val="20"/>
          <w:szCs w:val="20"/>
        </w:rPr>
        <w:t>s usual fee or up to one</w:t>
      </w:r>
      <w:r w:rsidR="000C64DE">
        <w:rPr>
          <w:rFonts w:ascii="Times New Roman" w:hAnsi="Times New Roman"/>
          <w:sz w:val="20"/>
          <w:szCs w:val="20"/>
        </w:rPr>
        <w:t>-</w:t>
      </w:r>
      <w:r w:rsidR="00364253" w:rsidRPr="007509CF">
        <w:rPr>
          <w:rFonts w:ascii="Times New Roman" w:hAnsi="Times New Roman"/>
          <w:sz w:val="20"/>
          <w:szCs w:val="20"/>
        </w:rPr>
        <w:t xml:space="preserve">third of the recovery on success.  These limits can also be increased with leave of the court.  It is also now permissible for parties to enter into litigation funding agreements, bringing the Cayman Islands into line with modern litigation funding practice.    </w:t>
      </w:r>
    </w:p>
    <w:p w:rsidR="00342AC6" w:rsidRPr="007509CF" w:rsidRDefault="00342AC6" w:rsidP="00B45ED7">
      <w:pPr>
        <w:suppressAutoHyphens/>
        <w:autoSpaceDE w:val="0"/>
        <w:autoSpaceDN w:val="0"/>
        <w:adjustRightInd w:val="0"/>
        <w:spacing w:before="57" w:line="288" w:lineRule="auto"/>
        <w:textAlignment w:val="center"/>
        <w:rPr>
          <w:rFonts w:ascii="Times New Roman" w:hAnsi="Times New Roman"/>
          <w:sz w:val="20"/>
          <w:szCs w:val="20"/>
        </w:rPr>
      </w:pPr>
      <w:r w:rsidRPr="007509CF">
        <w:rPr>
          <w:rFonts w:ascii="Times New Roman" w:hAnsi="Times New Roman"/>
          <w:sz w:val="20"/>
          <w:szCs w:val="20"/>
        </w:rPr>
        <w:t>It is common for the Articles of Association of Cayman Islands companies to exclude liability for a director</w:t>
      </w:r>
      <w:r w:rsidR="007509CF">
        <w:rPr>
          <w:rFonts w:ascii="Times New Roman" w:hAnsi="Times New Roman"/>
          <w:sz w:val="20"/>
          <w:szCs w:val="20"/>
        </w:rPr>
        <w:t>’</w:t>
      </w:r>
      <w:r w:rsidRPr="007509CF">
        <w:rPr>
          <w:rFonts w:ascii="Times New Roman" w:hAnsi="Times New Roman"/>
          <w:sz w:val="20"/>
          <w:szCs w:val="20"/>
        </w:rPr>
        <w:t xml:space="preserve">s negligence (but not fraud, liability for which cannot be excluded) and/or to provide for a company pursuing claims against its directors to indemnify the directors for their costs of the proceedings.  One such provision was enforced in the case of </w:t>
      </w:r>
      <w:r w:rsidRPr="007509CF">
        <w:rPr>
          <w:rFonts w:ascii="Times New Roman" w:hAnsi="Times New Roman"/>
          <w:i/>
          <w:iCs/>
          <w:sz w:val="20"/>
          <w:szCs w:val="20"/>
        </w:rPr>
        <w:t>Goodman v Cummings</w:t>
      </w:r>
      <w:r w:rsidRPr="007509CF">
        <w:rPr>
          <w:rFonts w:ascii="Times New Roman" w:hAnsi="Times New Roman"/>
          <w:sz w:val="20"/>
          <w:szCs w:val="20"/>
        </w:rPr>
        <w:t xml:space="preserve"> (13 September 2018</w:t>
      </w:r>
      <w:r w:rsidR="000C64DE">
        <w:rPr>
          <w:rFonts w:ascii="Times New Roman" w:hAnsi="Times New Roman"/>
          <w:sz w:val="20"/>
          <w:szCs w:val="20"/>
        </w:rPr>
        <w:t>,</w:t>
      </w:r>
      <w:r w:rsidRPr="007509CF">
        <w:rPr>
          <w:rFonts w:ascii="Times New Roman" w:hAnsi="Times New Roman"/>
          <w:sz w:val="20"/>
          <w:szCs w:val="20"/>
        </w:rPr>
        <w:t xml:space="preserve"> FSD No 204 of 2006).</w:t>
      </w:r>
    </w:p>
    <w:p w:rsidR="00342AC6" w:rsidRPr="007509CF" w:rsidRDefault="00342AC6" w:rsidP="00B45ED7">
      <w:pPr>
        <w:suppressAutoHyphens/>
        <w:autoSpaceDE w:val="0"/>
        <w:autoSpaceDN w:val="0"/>
        <w:adjustRightInd w:val="0"/>
        <w:spacing w:before="227" w:after="57" w:line="288" w:lineRule="auto"/>
        <w:ind w:left="170"/>
        <w:jc w:val="left"/>
        <w:textAlignment w:val="center"/>
        <w:rPr>
          <w:rFonts w:ascii="Times New Roman" w:hAnsi="Times New Roman"/>
          <w:b/>
          <w:bCs/>
          <w:sz w:val="20"/>
          <w:szCs w:val="20"/>
        </w:rPr>
      </w:pPr>
      <w:r w:rsidRPr="007509CF">
        <w:rPr>
          <w:rFonts w:ascii="Times New Roman" w:hAnsi="Times New Roman"/>
          <w:b/>
          <w:bCs/>
          <w:sz w:val="20"/>
          <w:szCs w:val="20"/>
        </w:rPr>
        <w:t>Class actions</w:t>
      </w:r>
    </w:p>
    <w:p w:rsidR="009958D5" w:rsidRPr="007509CF" w:rsidRDefault="008122E1" w:rsidP="00B45ED7">
      <w:pPr>
        <w:pStyle w:val="NormalWeb"/>
        <w:jc w:val="both"/>
        <w:rPr>
          <w:sz w:val="20"/>
          <w:szCs w:val="20"/>
          <w:lang w:val="en-GB"/>
        </w:rPr>
      </w:pPr>
      <w:r w:rsidRPr="007509CF">
        <w:rPr>
          <w:sz w:val="20"/>
          <w:szCs w:val="20"/>
          <w:lang w:val="en-GB"/>
        </w:rPr>
        <w:t xml:space="preserve">There is no direct equivalent </w:t>
      </w:r>
      <w:r w:rsidR="00DB75D4" w:rsidRPr="007509CF">
        <w:rPr>
          <w:sz w:val="20"/>
          <w:szCs w:val="20"/>
          <w:lang w:val="en-GB"/>
        </w:rPr>
        <w:t xml:space="preserve">in the Cayman Islands of </w:t>
      </w:r>
      <w:r w:rsidRPr="007509CF">
        <w:rPr>
          <w:sz w:val="20"/>
          <w:szCs w:val="20"/>
          <w:lang w:val="en-GB"/>
        </w:rPr>
        <w:t xml:space="preserve">the </w:t>
      </w:r>
      <w:r w:rsidR="00EF0C71" w:rsidRPr="007509CF">
        <w:rPr>
          <w:sz w:val="20"/>
          <w:szCs w:val="20"/>
          <w:lang w:val="en-GB"/>
        </w:rPr>
        <w:t>United States</w:t>
      </w:r>
      <w:r w:rsidR="007509CF">
        <w:rPr>
          <w:sz w:val="20"/>
          <w:szCs w:val="20"/>
          <w:lang w:val="en-GB"/>
        </w:rPr>
        <w:t>’</w:t>
      </w:r>
      <w:r w:rsidRPr="007509CF">
        <w:rPr>
          <w:sz w:val="20"/>
          <w:szCs w:val="20"/>
          <w:lang w:val="en-GB"/>
        </w:rPr>
        <w:t xml:space="preserve"> concept of a class action.  </w:t>
      </w:r>
      <w:r w:rsidR="009958D5" w:rsidRPr="007509CF">
        <w:rPr>
          <w:sz w:val="20"/>
          <w:szCs w:val="20"/>
          <w:lang w:val="en-GB"/>
        </w:rPr>
        <w:t>In theory</w:t>
      </w:r>
      <w:r w:rsidR="000C64DE">
        <w:rPr>
          <w:sz w:val="20"/>
          <w:szCs w:val="20"/>
          <w:lang w:val="en-GB"/>
        </w:rPr>
        <w:t>,</w:t>
      </w:r>
      <w:r w:rsidR="009958D5" w:rsidRPr="007509CF">
        <w:rPr>
          <w:sz w:val="20"/>
          <w:szCs w:val="20"/>
          <w:lang w:val="en-GB"/>
        </w:rPr>
        <w:t xml:space="preserve"> it is possible for one </w:t>
      </w:r>
      <w:r w:rsidR="0010376C" w:rsidRPr="007509CF">
        <w:rPr>
          <w:sz w:val="20"/>
          <w:szCs w:val="20"/>
          <w:lang w:val="en-GB"/>
        </w:rPr>
        <w:t>claimant</w:t>
      </w:r>
      <w:r w:rsidRPr="007509CF">
        <w:rPr>
          <w:sz w:val="20"/>
          <w:szCs w:val="20"/>
          <w:lang w:val="en-GB"/>
        </w:rPr>
        <w:t xml:space="preserve"> to bring a </w:t>
      </w:r>
      <w:r w:rsidR="009958D5" w:rsidRPr="007509CF">
        <w:rPr>
          <w:sz w:val="20"/>
          <w:szCs w:val="20"/>
          <w:lang w:val="en-GB"/>
        </w:rPr>
        <w:t>claim on behalf of others with the same interest in it</w:t>
      </w:r>
      <w:r w:rsidRPr="007509CF">
        <w:rPr>
          <w:sz w:val="20"/>
          <w:szCs w:val="20"/>
          <w:lang w:val="en-GB"/>
        </w:rPr>
        <w:t>.  This is known as a representative action.  I</w:t>
      </w:r>
      <w:r w:rsidR="009958D5" w:rsidRPr="007509CF">
        <w:rPr>
          <w:sz w:val="20"/>
          <w:szCs w:val="20"/>
          <w:lang w:val="en-GB"/>
        </w:rPr>
        <w:t xml:space="preserve">t is very rare for representative </w:t>
      </w:r>
      <w:r w:rsidRPr="007509CF">
        <w:rPr>
          <w:sz w:val="20"/>
          <w:szCs w:val="20"/>
          <w:lang w:val="en-GB"/>
        </w:rPr>
        <w:t>actions</w:t>
      </w:r>
      <w:r w:rsidR="009958D5" w:rsidRPr="007509CF">
        <w:rPr>
          <w:sz w:val="20"/>
          <w:szCs w:val="20"/>
          <w:lang w:val="en-GB"/>
        </w:rPr>
        <w:t xml:space="preserve"> to be brought in practice.  It is more common to see the court use its case management powers to consolidate proceedings brought by different </w:t>
      </w:r>
      <w:r w:rsidR="0010376C" w:rsidRPr="007509CF">
        <w:rPr>
          <w:sz w:val="20"/>
          <w:szCs w:val="20"/>
          <w:lang w:val="en-GB"/>
        </w:rPr>
        <w:t>claimant</w:t>
      </w:r>
      <w:r w:rsidR="009958D5" w:rsidRPr="007509CF">
        <w:rPr>
          <w:sz w:val="20"/>
          <w:szCs w:val="20"/>
          <w:lang w:val="en-GB"/>
        </w:rPr>
        <w:t xml:space="preserve">s or manage them together, often using sample or test cases to decide issues of law or fact </w:t>
      </w:r>
      <w:r w:rsidR="000C64DE">
        <w:rPr>
          <w:sz w:val="20"/>
          <w:szCs w:val="20"/>
          <w:lang w:val="en-GB"/>
        </w:rPr>
        <w:t>that</w:t>
      </w:r>
      <w:r w:rsidR="000C64DE" w:rsidRPr="007509CF">
        <w:rPr>
          <w:sz w:val="20"/>
          <w:szCs w:val="20"/>
          <w:lang w:val="en-GB"/>
        </w:rPr>
        <w:t xml:space="preserve"> </w:t>
      </w:r>
      <w:r w:rsidR="009958D5" w:rsidRPr="007509CF">
        <w:rPr>
          <w:sz w:val="20"/>
          <w:szCs w:val="20"/>
          <w:lang w:val="en-GB"/>
        </w:rPr>
        <w:t>are common across the claims.  It is also possible for shareholders in limited companies or partners in limited partnerships to bring claims derivatively on behalf of the company or partnership</w:t>
      </w:r>
      <w:r w:rsidRPr="007509CF">
        <w:rPr>
          <w:sz w:val="20"/>
          <w:szCs w:val="20"/>
          <w:lang w:val="en-GB"/>
        </w:rPr>
        <w:t xml:space="preserve">.  </w:t>
      </w:r>
      <w:r w:rsidR="009958D5" w:rsidRPr="007509CF">
        <w:rPr>
          <w:sz w:val="20"/>
          <w:szCs w:val="20"/>
          <w:lang w:val="en-GB"/>
        </w:rPr>
        <w:t xml:space="preserve">    </w:t>
      </w:r>
      <w:r w:rsidR="007509CF">
        <w:rPr>
          <w:sz w:val="20"/>
          <w:szCs w:val="20"/>
          <w:lang w:val="en-GB"/>
        </w:rPr>
        <w:t xml:space="preserve"> </w:t>
      </w:r>
    </w:p>
    <w:p w:rsidR="00342AC6" w:rsidRPr="007509CF" w:rsidRDefault="00342AC6" w:rsidP="00B45ED7">
      <w:pPr>
        <w:suppressAutoHyphens/>
        <w:autoSpaceDE w:val="0"/>
        <w:autoSpaceDN w:val="0"/>
        <w:adjustRightInd w:val="0"/>
        <w:spacing w:before="227" w:after="57" w:line="288" w:lineRule="auto"/>
        <w:ind w:left="170"/>
        <w:jc w:val="left"/>
        <w:textAlignment w:val="center"/>
        <w:rPr>
          <w:rFonts w:ascii="Times New Roman" w:hAnsi="Times New Roman"/>
          <w:b/>
          <w:bCs/>
          <w:sz w:val="20"/>
          <w:szCs w:val="20"/>
        </w:rPr>
      </w:pPr>
      <w:r w:rsidRPr="007509CF">
        <w:rPr>
          <w:rFonts w:ascii="Times New Roman" w:hAnsi="Times New Roman"/>
          <w:b/>
          <w:bCs/>
          <w:sz w:val="20"/>
          <w:szCs w:val="20"/>
        </w:rPr>
        <w:t>Interim relief</w:t>
      </w:r>
    </w:p>
    <w:p w:rsidR="00342AC6" w:rsidRPr="007509CF" w:rsidRDefault="00342AC6" w:rsidP="00B45ED7">
      <w:pPr>
        <w:suppressAutoHyphens/>
        <w:autoSpaceDE w:val="0"/>
        <w:autoSpaceDN w:val="0"/>
        <w:adjustRightInd w:val="0"/>
        <w:spacing w:before="57" w:line="288" w:lineRule="auto"/>
        <w:textAlignment w:val="center"/>
        <w:rPr>
          <w:rFonts w:ascii="Times New Roman" w:hAnsi="Times New Roman"/>
          <w:sz w:val="20"/>
          <w:szCs w:val="20"/>
        </w:rPr>
      </w:pPr>
      <w:r w:rsidRPr="007509CF">
        <w:rPr>
          <w:rFonts w:ascii="Times New Roman" w:hAnsi="Times New Roman"/>
          <w:sz w:val="20"/>
          <w:szCs w:val="20"/>
        </w:rPr>
        <w:t>Interim relief in the form of asset freezing and other injunctions is available in the Cayman Islands.  Th</w:t>
      </w:r>
      <w:r w:rsidR="008122E1" w:rsidRPr="007509CF">
        <w:rPr>
          <w:rFonts w:ascii="Times New Roman" w:hAnsi="Times New Roman"/>
          <w:sz w:val="20"/>
          <w:szCs w:val="20"/>
        </w:rPr>
        <w:t>is was extended to cover</w:t>
      </w:r>
      <w:r w:rsidRPr="007509CF">
        <w:rPr>
          <w:rFonts w:ascii="Times New Roman" w:hAnsi="Times New Roman"/>
          <w:sz w:val="20"/>
          <w:szCs w:val="20"/>
        </w:rPr>
        <w:t xml:space="preserve"> injunctive relief in support of proceedings in other jurisdictions</w:t>
      </w:r>
      <w:r w:rsidR="008122E1" w:rsidRPr="007509CF">
        <w:rPr>
          <w:rFonts w:ascii="Times New Roman" w:hAnsi="Times New Roman"/>
          <w:sz w:val="20"/>
          <w:szCs w:val="20"/>
        </w:rPr>
        <w:t xml:space="preserve"> under the </w:t>
      </w:r>
      <w:r w:rsidR="008122E1" w:rsidRPr="007509CF">
        <w:rPr>
          <w:rFonts w:ascii="Times New Roman" w:hAnsi="Times New Roman"/>
          <w:i/>
          <w:iCs/>
          <w:sz w:val="20"/>
          <w:szCs w:val="20"/>
        </w:rPr>
        <w:t>Grand Court Amendment Law 2014</w:t>
      </w:r>
      <w:r w:rsidRPr="007509CF">
        <w:rPr>
          <w:rFonts w:ascii="Times New Roman" w:hAnsi="Times New Roman"/>
          <w:sz w:val="20"/>
          <w:szCs w:val="20"/>
        </w:rPr>
        <w:t>.  This is a welcome development and assists claimants in recovering assets that may have been placed offshore in order to defeat claims.  The Cayman Islands courts now have the power to grant a wide variety of injunctions in support of domestic and other proceedings.  These include the freezing of assets, preservation of property, disclosure of assets, documents, etc.</w:t>
      </w:r>
    </w:p>
    <w:p w:rsidR="00342AC6" w:rsidRPr="007509CF" w:rsidRDefault="00342AC6" w:rsidP="00342AC6">
      <w:pPr>
        <w:suppressAutoHyphens/>
        <w:autoSpaceDE w:val="0"/>
        <w:autoSpaceDN w:val="0"/>
        <w:adjustRightInd w:val="0"/>
        <w:spacing w:before="57" w:line="288" w:lineRule="auto"/>
        <w:textAlignment w:val="center"/>
        <w:rPr>
          <w:rFonts w:ascii="Times New Roman" w:hAnsi="Times New Roman"/>
          <w:spacing w:val="-2"/>
          <w:sz w:val="20"/>
          <w:szCs w:val="20"/>
        </w:rPr>
      </w:pPr>
      <w:r w:rsidRPr="007509CF">
        <w:rPr>
          <w:rFonts w:ascii="Times New Roman" w:hAnsi="Times New Roman"/>
          <w:spacing w:val="-2"/>
          <w:sz w:val="20"/>
          <w:szCs w:val="20"/>
        </w:rPr>
        <w:t xml:space="preserve">Unlike most European jurisdictions where conventions establish the relative priority of the different jurisdictions, in the Cayman Islands it is often necessary to seek the assistance of the court to prevent unlawful </w:t>
      </w:r>
      <w:r w:rsidR="007509CF">
        <w:rPr>
          <w:rFonts w:ascii="Times New Roman" w:hAnsi="Times New Roman"/>
          <w:spacing w:val="-2"/>
          <w:sz w:val="20"/>
          <w:szCs w:val="20"/>
        </w:rPr>
        <w:t>“</w:t>
      </w:r>
      <w:r w:rsidRPr="007509CF">
        <w:rPr>
          <w:rFonts w:ascii="Times New Roman" w:hAnsi="Times New Roman"/>
          <w:spacing w:val="-2"/>
          <w:sz w:val="20"/>
          <w:szCs w:val="20"/>
        </w:rPr>
        <w:t>forum shopping</w:t>
      </w:r>
      <w:r w:rsidR="007509CF">
        <w:rPr>
          <w:rFonts w:ascii="Times New Roman" w:hAnsi="Times New Roman"/>
          <w:spacing w:val="-2"/>
          <w:sz w:val="20"/>
          <w:szCs w:val="20"/>
        </w:rPr>
        <w:t>”</w:t>
      </w:r>
      <w:r w:rsidRPr="007509CF">
        <w:rPr>
          <w:rFonts w:ascii="Times New Roman" w:hAnsi="Times New Roman"/>
          <w:spacing w:val="-2"/>
          <w:sz w:val="20"/>
          <w:szCs w:val="20"/>
        </w:rPr>
        <w:t xml:space="preserve"> by granting an anti-suit injunction.  Anti-suit injunctions are normally aimed at preventing a party (who is subject to the jurisdiction of the Cayman Islands courts) from pursuing litigation in another country that should be litigated in the Cayman Islands.  This will commonly be where there is an exclusive jurisdiction clause, or where a claim raises issues that can only be determined by the courts of the Cayman Islands.</w:t>
      </w:r>
    </w:p>
    <w:p w:rsidR="00342AC6" w:rsidRPr="007509CF" w:rsidRDefault="00342AC6" w:rsidP="00342AC6">
      <w:pPr>
        <w:suppressAutoHyphens/>
        <w:autoSpaceDE w:val="0"/>
        <w:autoSpaceDN w:val="0"/>
        <w:adjustRightInd w:val="0"/>
        <w:spacing w:before="57" w:line="288" w:lineRule="auto"/>
        <w:textAlignment w:val="center"/>
        <w:rPr>
          <w:rFonts w:ascii="Times New Roman" w:hAnsi="Times New Roman"/>
          <w:spacing w:val="2"/>
          <w:sz w:val="20"/>
          <w:szCs w:val="20"/>
        </w:rPr>
      </w:pPr>
      <w:r w:rsidRPr="007509CF">
        <w:rPr>
          <w:rFonts w:ascii="Times New Roman" w:hAnsi="Times New Roman"/>
          <w:spacing w:val="2"/>
          <w:sz w:val="20"/>
          <w:szCs w:val="20"/>
        </w:rPr>
        <w:t xml:space="preserve">This last issue was raised in the case of </w:t>
      </w:r>
      <w:r w:rsidRPr="007509CF">
        <w:rPr>
          <w:rFonts w:ascii="Times New Roman" w:hAnsi="Times New Roman"/>
          <w:i/>
          <w:iCs/>
          <w:spacing w:val="2"/>
          <w:sz w:val="20"/>
          <w:szCs w:val="20"/>
        </w:rPr>
        <w:t>Asia Pacific Online Limited v Marcus Watson and Others</w:t>
      </w:r>
      <w:r w:rsidRPr="007509CF">
        <w:rPr>
          <w:rFonts w:ascii="Times New Roman" w:hAnsi="Times New Roman"/>
          <w:spacing w:val="2"/>
          <w:sz w:val="20"/>
          <w:szCs w:val="20"/>
        </w:rPr>
        <w:t xml:space="preserve"> (Unreported, 25 April 2012), in which the Cayman Islands court granted an </w:t>
      </w:r>
      <w:r w:rsidR="007509CF">
        <w:rPr>
          <w:rFonts w:ascii="Times New Roman" w:hAnsi="Times New Roman"/>
          <w:spacing w:val="2"/>
          <w:sz w:val="20"/>
          <w:szCs w:val="20"/>
        </w:rPr>
        <w:t>“</w:t>
      </w:r>
      <w:r w:rsidRPr="007509CF">
        <w:rPr>
          <w:rFonts w:ascii="Times New Roman" w:hAnsi="Times New Roman"/>
          <w:spacing w:val="2"/>
          <w:sz w:val="20"/>
          <w:szCs w:val="20"/>
        </w:rPr>
        <w:t>anti-anti-suit injunction</w:t>
      </w:r>
      <w:r w:rsidR="007509CF">
        <w:rPr>
          <w:rFonts w:ascii="Times New Roman" w:hAnsi="Times New Roman"/>
          <w:spacing w:val="2"/>
          <w:sz w:val="20"/>
          <w:szCs w:val="20"/>
        </w:rPr>
        <w:t>”</w:t>
      </w:r>
      <w:r w:rsidRPr="007509CF">
        <w:rPr>
          <w:rFonts w:ascii="Times New Roman" w:hAnsi="Times New Roman"/>
          <w:spacing w:val="2"/>
          <w:sz w:val="20"/>
          <w:szCs w:val="20"/>
        </w:rPr>
        <w:t xml:space="preserve"> to restrain intended anti-suit injunction proceedings about to be brought in the United States.  The dispute related to Chapter 11 proceedings in which it was alleged that certain shares in a Cayman Islands company would be expropriated against their wishes through the Chapter 11 process.  The court granted the injunction on the basis that the United States proceedings could amount to a repudiation of the constitution of a Cayman Islands company.</w:t>
      </w:r>
    </w:p>
    <w:p w:rsidR="00342AC6" w:rsidRPr="007509CF" w:rsidRDefault="00342AC6" w:rsidP="00342AC6">
      <w:pPr>
        <w:suppressAutoHyphens/>
        <w:autoSpaceDE w:val="0"/>
        <w:autoSpaceDN w:val="0"/>
        <w:adjustRightInd w:val="0"/>
        <w:spacing w:before="57" w:line="288" w:lineRule="auto"/>
        <w:textAlignment w:val="center"/>
        <w:rPr>
          <w:rFonts w:ascii="Times New Roman" w:hAnsi="Times New Roman"/>
          <w:sz w:val="20"/>
          <w:szCs w:val="20"/>
        </w:rPr>
      </w:pPr>
      <w:r w:rsidRPr="007509CF">
        <w:rPr>
          <w:rFonts w:ascii="Times New Roman" w:hAnsi="Times New Roman"/>
          <w:sz w:val="20"/>
          <w:szCs w:val="20"/>
        </w:rPr>
        <w:t>In a similar vein, when a company is being wound up in the jurisdiction where it is incorporated, an anti-suit injunction is available to prevent a creditor or member from pursuing proceedings in another jurisdiction that are calculated to give him an unjustifiable priority</w:t>
      </w:r>
      <w:r w:rsidR="008122E1" w:rsidRPr="007509CF">
        <w:rPr>
          <w:rFonts w:ascii="Times New Roman" w:hAnsi="Times New Roman"/>
          <w:sz w:val="20"/>
          <w:szCs w:val="20"/>
        </w:rPr>
        <w:t xml:space="preserve"> </w:t>
      </w:r>
      <w:r w:rsidRPr="007509CF">
        <w:rPr>
          <w:rFonts w:ascii="Times New Roman" w:hAnsi="Times New Roman"/>
          <w:sz w:val="20"/>
          <w:szCs w:val="20"/>
        </w:rPr>
        <w:t>(</w:t>
      </w:r>
      <w:r w:rsidRPr="007509CF">
        <w:rPr>
          <w:rFonts w:ascii="Times New Roman" w:hAnsi="Times New Roman"/>
          <w:i/>
          <w:iCs/>
          <w:sz w:val="20"/>
          <w:szCs w:val="20"/>
        </w:rPr>
        <w:t>Stichting Shell Pensioenfonds v Krys and another</w:t>
      </w:r>
      <w:r w:rsidRPr="007509CF">
        <w:rPr>
          <w:rFonts w:ascii="Times New Roman" w:hAnsi="Times New Roman"/>
          <w:sz w:val="20"/>
          <w:szCs w:val="20"/>
        </w:rPr>
        <w:t xml:space="preserve"> [2014] UKPC 41).</w:t>
      </w:r>
    </w:p>
    <w:p w:rsidR="00342AC6" w:rsidRPr="007509CF" w:rsidRDefault="00342AC6" w:rsidP="00342AC6">
      <w:pPr>
        <w:suppressAutoHyphens/>
        <w:autoSpaceDE w:val="0"/>
        <w:autoSpaceDN w:val="0"/>
        <w:adjustRightInd w:val="0"/>
        <w:spacing w:before="227" w:after="57" w:line="288" w:lineRule="auto"/>
        <w:ind w:left="170"/>
        <w:jc w:val="left"/>
        <w:textAlignment w:val="center"/>
        <w:rPr>
          <w:rFonts w:ascii="Times New Roman" w:hAnsi="Times New Roman"/>
          <w:b/>
          <w:bCs/>
          <w:sz w:val="20"/>
          <w:szCs w:val="20"/>
        </w:rPr>
      </w:pPr>
      <w:r w:rsidRPr="007509CF">
        <w:rPr>
          <w:rFonts w:ascii="Times New Roman" w:hAnsi="Times New Roman"/>
          <w:b/>
          <w:bCs/>
          <w:sz w:val="20"/>
          <w:szCs w:val="20"/>
        </w:rPr>
        <w:t>Enforcement of judgments/awards</w:t>
      </w:r>
    </w:p>
    <w:p w:rsidR="00342AC6" w:rsidRPr="007509CF" w:rsidRDefault="00342AC6" w:rsidP="00342AC6">
      <w:pPr>
        <w:suppressAutoHyphens/>
        <w:autoSpaceDE w:val="0"/>
        <w:autoSpaceDN w:val="0"/>
        <w:adjustRightInd w:val="0"/>
        <w:spacing w:before="57" w:line="288" w:lineRule="auto"/>
        <w:textAlignment w:val="center"/>
        <w:rPr>
          <w:rFonts w:ascii="Times New Roman" w:hAnsi="Times New Roman"/>
          <w:sz w:val="20"/>
          <w:szCs w:val="20"/>
        </w:rPr>
      </w:pPr>
      <w:r w:rsidRPr="007509CF">
        <w:rPr>
          <w:rFonts w:ascii="Times New Roman" w:hAnsi="Times New Roman"/>
          <w:sz w:val="20"/>
          <w:szCs w:val="20"/>
        </w:rPr>
        <w:t>In principle, foreign judgments and arbitral awards can be enforced in the Cayman Islands courts.  At the time of writing (with the exception of Australian judgments), there is no system for registration and automatic enforcement of foreign judgments.  However, it is intended that legislation will be passed, extending the current registration system to most Commonwealth countries.</w:t>
      </w:r>
    </w:p>
    <w:p w:rsidR="00342AC6" w:rsidRPr="007509CF" w:rsidRDefault="00342AC6" w:rsidP="00342AC6">
      <w:pPr>
        <w:suppressAutoHyphens/>
        <w:autoSpaceDE w:val="0"/>
        <w:autoSpaceDN w:val="0"/>
        <w:adjustRightInd w:val="0"/>
        <w:spacing w:before="57" w:line="288" w:lineRule="auto"/>
        <w:textAlignment w:val="center"/>
        <w:rPr>
          <w:rFonts w:ascii="Times New Roman" w:hAnsi="Times New Roman"/>
          <w:sz w:val="20"/>
          <w:szCs w:val="20"/>
        </w:rPr>
      </w:pPr>
      <w:r w:rsidRPr="007509CF">
        <w:rPr>
          <w:rFonts w:ascii="Times New Roman" w:hAnsi="Times New Roman"/>
          <w:sz w:val="20"/>
          <w:szCs w:val="20"/>
        </w:rPr>
        <w:t xml:space="preserve">Even after the new legislation is passed, judgments from other countries (most notably the United States) will continue to be enforced by </w:t>
      </w:r>
      <w:r w:rsidR="00EF0C71" w:rsidRPr="007509CF">
        <w:rPr>
          <w:rFonts w:ascii="Times New Roman" w:hAnsi="Times New Roman"/>
          <w:sz w:val="20"/>
          <w:szCs w:val="20"/>
        </w:rPr>
        <w:t xml:space="preserve">the </w:t>
      </w:r>
      <w:r w:rsidRPr="007509CF">
        <w:rPr>
          <w:rFonts w:ascii="Times New Roman" w:hAnsi="Times New Roman"/>
          <w:sz w:val="20"/>
          <w:szCs w:val="20"/>
        </w:rPr>
        <w:t>court under the common law system, as if they were based on a contractual right.  The process for enforcement therefore involves the commencement of a fresh action in the Cayman Islands courts.  Judgment is usually granted on a summary basis.  Once granted, the judgment can be enforced by seizure of property or other means, as with any other local judgment.</w:t>
      </w:r>
    </w:p>
    <w:p w:rsidR="00342AC6" w:rsidRPr="007509CF" w:rsidRDefault="00342AC6" w:rsidP="00342AC6">
      <w:pPr>
        <w:suppressAutoHyphens/>
        <w:autoSpaceDE w:val="0"/>
        <w:autoSpaceDN w:val="0"/>
        <w:adjustRightInd w:val="0"/>
        <w:spacing w:before="57" w:line="288" w:lineRule="auto"/>
        <w:textAlignment w:val="center"/>
        <w:rPr>
          <w:rFonts w:ascii="Times New Roman" w:hAnsi="Times New Roman"/>
          <w:sz w:val="20"/>
          <w:szCs w:val="20"/>
        </w:rPr>
      </w:pPr>
      <w:r w:rsidRPr="007509CF">
        <w:rPr>
          <w:rFonts w:ascii="Times New Roman" w:hAnsi="Times New Roman"/>
          <w:sz w:val="20"/>
          <w:szCs w:val="20"/>
        </w:rPr>
        <w:t>There are a number of well-established formal requirements that must be satisfied before the court will enforce a foreign judgment or arbitral award.  These are as follows:</w:t>
      </w:r>
    </w:p>
    <w:p w:rsidR="00342AC6" w:rsidRPr="007509CF" w:rsidRDefault="00342AC6" w:rsidP="00342AC6">
      <w:pPr>
        <w:suppressAutoHyphens/>
        <w:autoSpaceDE w:val="0"/>
        <w:autoSpaceDN w:val="0"/>
        <w:adjustRightInd w:val="0"/>
        <w:spacing w:line="240" w:lineRule="atLeast"/>
        <w:ind w:left="340" w:hanging="340"/>
        <w:textAlignment w:val="center"/>
        <w:rPr>
          <w:rFonts w:ascii="Times New Roman" w:hAnsi="Times New Roman"/>
          <w:sz w:val="20"/>
          <w:szCs w:val="20"/>
        </w:rPr>
      </w:pPr>
      <w:r w:rsidRPr="007509CF">
        <w:rPr>
          <w:rFonts w:ascii="Times New Roman" w:hAnsi="Times New Roman"/>
          <w:sz w:val="20"/>
          <w:szCs w:val="20"/>
        </w:rPr>
        <w:t>•</w:t>
      </w:r>
      <w:r w:rsidRPr="007509CF">
        <w:rPr>
          <w:rFonts w:ascii="Times New Roman" w:hAnsi="Times New Roman"/>
          <w:sz w:val="20"/>
          <w:szCs w:val="20"/>
        </w:rPr>
        <w:tab/>
        <w:t>The foreign court or tribunal was competent to hear the claim.</w:t>
      </w:r>
    </w:p>
    <w:p w:rsidR="00342AC6" w:rsidRPr="007509CF" w:rsidRDefault="00342AC6" w:rsidP="00342AC6">
      <w:pPr>
        <w:suppressAutoHyphens/>
        <w:autoSpaceDE w:val="0"/>
        <w:autoSpaceDN w:val="0"/>
        <w:adjustRightInd w:val="0"/>
        <w:spacing w:line="240" w:lineRule="atLeast"/>
        <w:ind w:left="340" w:hanging="340"/>
        <w:textAlignment w:val="center"/>
        <w:rPr>
          <w:rFonts w:ascii="Times New Roman" w:hAnsi="Times New Roman"/>
          <w:sz w:val="20"/>
          <w:szCs w:val="20"/>
        </w:rPr>
      </w:pPr>
      <w:r w:rsidRPr="007509CF">
        <w:rPr>
          <w:rFonts w:ascii="Times New Roman" w:hAnsi="Times New Roman"/>
          <w:sz w:val="20"/>
          <w:szCs w:val="20"/>
        </w:rPr>
        <w:t>•</w:t>
      </w:r>
      <w:r w:rsidRPr="007509CF">
        <w:rPr>
          <w:rFonts w:ascii="Times New Roman" w:hAnsi="Times New Roman"/>
          <w:sz w:val="20"/>
          <w:szCs w:val="20"/>
        </w:rPr>
        <w:tab/>
        <w:t>The judgment or award involves a positive obligation, such as an obligation to pay a debt or perform a specified task.</w:t>
      </w:r>
    </w:p>
    <w:p w:rsidR="00342AC6" w:rsidRPr="007509CF" w:rsidRDefault="00342AC6" w:rsidP="00342AC6">
      <w:pPr>
        <w:suppressAutoHyphens/>
        <w:autoSpaceDE w:val="0"/>
        <w:autoSpaceDN w:val="0"/>
        <w:adjustRightInd w:val="0"/>
        <w:spacing w:line="240" w:lineRule="atLeast"/>
        <w:ind w:left="340" w:hanging="340"/>
        <w:textAlignment w:val="center"/>
        <w:rPr>
          <w:rFonts w:ascii="Times New Roman" w:hAnsi="Times New Roman"/>
          <w:sz w:val="20"/>
          <w:szCs w:val="20"/>
        </w:rPr>
      </w:pPr>
      <w:r w:rsidRPr="007509CF">
        <w:rPr>
          <w:rFonts w:ascii="Times New Roman" w:hAnsi="Times New Roman"/>
          <w:sz w:val="20"/>
          <w:szCs w:val="20"/>
        </w:rPr>
        <w:t>•</w:t>
      </w:r>
      <w:r w:rsidRPr="007509CF">
        <w:rPr>
          <w:rFonts w:ascii="Times New Roman" w:hAnsi="Times New Roman"/>
          <w:sz w:val="20"/>
          <w:szCs w:val="20"/>
        </w:rPr>
        <w:tab/>
        <w:t>The judgment or award is final and conclusive.</w:t>
      </w:r>
    </w:p>
    <w:p w:rsidR="00342AC6" w:rsidRPr="007509CF" w:rsidRDefault="00342AC6" w:rsidP="00342AC6">
      <w:pPr>
        <w:suppressAutoHyphens/>
        <w:autoSpaceDE w:val="0"/>
        <w:autoSpaceDN w:val="0"/>
        <w:adjustRightInd w:val="0"/>
        <w:spacing w:line="240" w:lineRule="atLeast"/>
        <w:ind w:left="340" w:hanging="340"/>
        <w:textAlignment w:val="center"/>
        <w:rPr>
          <w:rFonts w:ascii="Times New Roman" w:hAnsi="Times New Roman"/>
          <w:sz w:val="20"/>
          <w:szCs w:val="20"/>
        </w:rPr>
      </w:pPr>
      <w:r w:rsidRPr="007509CF">
        <w:rPr>
          <w:rFonts w:ascii="Times New Roman" w:hAnsi="Times New Roman"/>
          <w:sz w:val="20"/>
          <w:szCs w:val="20"/>
        </w:rPr>
        <w:t>•</w:t>
      </w:r>
      <w:r w:rsidRPr="007509CF">
        <w:rPr>
          <w:rFonts w:ascii="Times New Roman" w:hAnsi="Times New Roman"/>
          <w:sz w:val="20"/>
          <w:szCs w:val="20"/>
        </w:rPr>
        <w:tab/>
        <w:t>The judgment or award does not involve taxes, fines or penalties.</w:t>
      </w:r>
    </w:p>
    <w:p w:rsidR="00342AC6" w:rsidRPr="007509CF" w:rsidRDefault="00342AC6" w:rsidP="00342AC6">
      <w:pPr>
        <w:suppressAutoHyphens/>
        <w:autoSpaceDE w:val="0"/>
        <w:autoSpaceDN w:val="0"/>
        <w:adjustRightInd w:val="0"/>
        <w:spacing w:before="57" w:line="288" w:lineRule="auto"/>
        <w:textAlignment w:val="center"/>
        <w:rPr>
          <w:rFonts w:ascii="Times New Roman" w:hAnsi="Times New Roman"/>
          <w:sz w:val="20"/>
          <w:szCs w:val="20"/>
        </w:rPr>
      </w:pPr>
      <w:r w:rsidRPr="007509CF">
        <w:rPr>
          <w:rFonts w:ascii="Times New Roman" w:hAnsi="Times New Roman"/>
          <w:sz w:val="20"/>
          <w:szCs w:val="20"/>
        </w:rPr>
        <w:t xml:space="preserve">The requirement that the foreign court is competent to hear the claim should be assessed with reference to the principles of Cayman Islands law, rather than the law of the country making the judgment.  This important distinction was illustrated in the case of </w:t>
      </w:r>
      <w:r w:rsidRPr="007509CF">
        <w:rPr>
          <w:rFonts w:ascii="Times New Roman" w:hAnsi="Times New Roman"/>
          <w:i/>
          <w:iCs/>
          <w:sz w:val="20"/>
          <w:szCs w:val="20"/>
        </w:rPr>
        <w:t>Banco Mercantil Del Norte SA v Cabal Peniche</w:t>
      </w:r>
      <w:r w:rsidRPr="007509CF">
        <w:rPr>
          <w:rFonts w:ascii="Times New Roman" w:hAnsi="Times New Roman"/>
          <w:sz w:val="20"/>
          <w:szCs w:val="20"/>
        </w:rPr>
        <w:t xml:space="preserve"> [2003 CILR 343], in which the Cayman Islands court declined to summarily enforce a judgment of the Mexican courts.</w:t>
      </w:r>
    </w:p>
    <w:p w:rsidR="00342AC6" w:rsidRPr="007509CF" w:rsidRDefault="00342AC6" w:rsidP="00342AC6">
      <w:pPr>
        <w:suppressAutoHyphens/>
        <w:autoSpaceDE w:val="0"/>
        <w:autoSpaceDN w:val="0"/>
        <w:adjustRightInd w:val="0"/>
        <w:spacing w:before="57" w:line="288" w:lineRule="auto"/>
        <w:textAlignment w:val="center"/>
        <w:rPr>
          <w:rFonts w:ascii="Times New Roman" w:hAnsi="Times New Roman"/>
          <w:spacing w:val="1"/>
          <w:sz w:val="20"/>
          <w:szCs w:val="20"/>
        </w:rPr>
      </w:pPr>
      <w:r w:rsidRPr="007509CF">
        <w:rPr>
          <w:rFonts w:ascii="Times New Roman" w:hAnsi="Times New Roman"/>
          <w:spacing w:val="1"/>
          <w:sz w:val="20"/>
          <w:szCs w:val="20"/>
        </w:rPr>
        <w:t xml:space="preserve">It was argued that the defendant in that case had submitted to the jurisdiction of the Mexican court by voluntarily appearing in those proceedings.  The appearance relied on what is known as </w:t>
      </w:r>
      <w:r w:rsidRPr="007509CF">
        <w:rPr>
          <w:rFonts w:ascii="Times New Roman" w:hAnsi="Times New Roman"/>
          <w:i/>
          <w:iCs/>
          <w:spacing w:val="1"/>
          <w:sz w:val="20"/>
          <w:szCs w:val="20"/>
        </w:rPr>
        <w:t>Amparo</w:t>
      </w:r>
      <w:r w:rsidRPr="007509CF">
        <w:rPr>
          <w:rFonts w:ascii="Times New Roman" w:hAnsi="Times New Roman"/>
          <w:spacing w:val="1"/>
          <w:sz w:val="20"/>
          <w:szCs w:val="20"/>
        </w:rPr>
        <w:t xml:space="preserve"> proceedings in the Mexican courts.  The aim of the </w:t>
      </w:r>
      <w:r w:rsidRPr="007509CF">
        <w:rPr>
          <w:rFonts w:ascii="Times New Roman" w:hAnsi="Times New Roman"/>
          <w:i/>
          <w:iCs/>
          <w:spacing w:val="1"/>
          <w:sz w:val="20"/>
          <w:szCs w:val="20"/>
        </w:rPr>
        <w:t>Amparo</w:t>
      </w:r>
      <w:r w:rsidRPr="007509CF">
        <w:rPr>
          <w:rFonts w:ascii="Times New Roman" w:hAnsi="Times New Roman"/>
          <w:spacing w:val="1"/>
          <w:sz w:val="20"/>
          <w:szCs w:val="20"/>
        </w:rPr>
        <w:t xml:space="preserve"> proceedings was to obtain an order setting aside the deemed service of the proceedings.  This would be considered a submission to the jurisdiction of the Mexican courts, but under Cayman Islands law it would not.</w:t>
      </w:r>
    </w:p>
    <w:p w:rsidR="00342AC6" w:rsidRPr="007509CF" w:rsidRDefault="00342AC6" w:rsidP="00342AC6">
      <w:pPr>
        <w:suppressAutoHyphens/>
        <w:autoSpaceDE w:val="0"/>
        <w:autoSpaceDN w:val="0"/>
        <w:adjustRightInd w:val="0"/>
        <w:spacing w:before="57" w:line="288" w:lineRule="auto"/>
        <w:textAlignment w:val="center"/>
        <w:rPr>
          <w:rFonts w:ascii="Times New Roman" w:hAnsi="Times New Roman"/>
          <w:spacing w:val="-1"/>
          <w:sz w:val="20"/>
          <w:szCs w:val="20"/>
        </w:rPr>
      </w:pPr>
      <w:r w:rsidRPr="007509CF">
        <w:rPr>
          <w:rFonts w:ascii="Times New Roman" w:hAnsi="Times New Roman"/>
          <w:spacing w:val="-1"/>
          <w:sz w:val="20"/>
          <w:szCs w:val="20"/>
        </w:rPr>
        <w:t xml:space="preserve">Under Cayman Islands law, purely contesting the jurisdiction of the court does not amount to a voluntary submission to the jurisdiction.  Accordingly, on the facts of this case, there was real doubt that the Mexican court had jurisdiction (applying Cayman Islands law) and the Cayman Islands judge declined to grant summary judgment on the enforcement application.  The judge concluded: </w:t>
      </w:r>
      <w:r w:rsidR="007509CF">
        <w:rPr>
          <w:rFonts w:ascii="Times New Roman" w:hAnsi="Times New Roman"/>
          <w:spacing w:val="-1"/>
          <w:sz w:val="20"/>
          <w:szCs w:val="20"/>
        </w:rPr>
        <w:t>“</w:t>
      </w:r>
      <w:r w:rsidRPr="007509CF">
        <w:rPr>
          <w:rFonts w:ascii="Times New Roman" w:hAnsi="Times New Roman"/>
          <w:i/>
          <w:iCs/>
          <w:spacing w:val="-1"/>
          <w:sz w:val="20"/>
          <w:szCs w:val="20"/>
        </w:rPr>
        <w:t>I am of the view that this was a purely jurisdictional hearing on the face of the record.  The threshold for a summary judgment is not met in my view</w:t>
      </w:r>
      <w:r w:rsidRPr="007509CF">
        <w:rPr>
          <w:rFonts w:ascii="Times New Roman" w:hAnsi="Times New Roman"/>
          <w:spacing w:val="-1"/>
          <w:sz w:val="20"/>
          <w:szCs w:val="20"/>
        </w:rPr>
        <w:t>.</w:t>
      </w:r>
      <w:r w:rsidR="007509CF">
        <w:rPr>
          <w:rFonts w:ascii="Times New Roman" w:hAnsi="Times New Roman"/>
          <w:spacing w:val="-1"/>
          <w:sz w:val="20"/>
          <w:szCs w:val="20"/>
        </w:rPr>
        <w:t>”</w:t>
      </w:r>
    </w:p>
    <w:p w:rsidR="008E0436" w:rsidRPr="007509CF" w:rsidRDefault="008E0436" w:rsidP="00342AC6">
      <w:pPr>
        <w:suppressAutoHyphens/>
        <w:autoSpaceDE w:val="0"/>
        <w:autoSpaceDN w:val="0"/>
        <w:adjustRightInd w:val="0"/>
        <w:spacing w:before="57" w:line="288" w:lineRule="auto"/>
        <w:textAlignment w:val="center"/>
        <w:rPr>
          <w:rFonts w:ascii="Times New Roman" w:hAnsi="Times New Roman"/>
          <w:sz w:val="20"/>
          <w:szCs w:val="20"/>
        </w:rPr>
      </w:pPr>
      <w:r w:rsidRPr="007509CF">
        <w:rPr>
          <w:rFonts w:ascii="Times New Roman" w:hAnsi="Times New Roman"/>
          <w:sz w:val="20"/>
          <w:szCs w:val="20"/>
        </w:rPr>
        <w:t xml:space="preserve">It is also important to bear in mind that Cayman Islands law makes a distinction between a judgment </w:t>
      </w:r>
      <w:r w:rsidR="00145EF2">
        <w:rPr>
          <w:rFonts w:ascii="Times New Roman" w:hAnsi="Times New Roman"/>
          <w:sz w:val="20"/>
          <w:szCs w:val="20"/>
        </w:rPr>
        <w:t>that</w:t>
      </w:r>
      <w:r w:rsidR="00145EF2" w:rsidRPr="007509CF">
        <w:rPr>
          <w:rFonts w:ascii="Times New Roman" w:hAnsi="Times New Roman"/>
          <w:sz w:val="20"/>
          <w:szCs w:val="20"/>
        </w:rPr>
        <w:t xml:space="preserve"> </w:t>
      </w:r>
      <w:r w:rsidRPr="007509CF">
        <w:rPr>
          <w:rFonts w:ascii="Times New Roman" w:hAnsi="Times New Roman"/>
          <w:sz w:val="20"/>
          <w:szCs w:val="20"/>
        </w:rPr>
        <w:t xml:space="preserve">is </w:t>
      </w:r>
      <w:r w:rsidR="007509CF">
        <w:rPr>
          <w:rFonts w:ascii="Times New Roman" w:hAnsi="Times New Roman"/>
          <w:sz w:val="20"/>
          <w:szCs w:val="20"/>
        </w:rPr>
        <w:t>“</w:t>
      </w:r>
      <w:r w:rsidRPr="007509CF">
        <w:rPr>
          <w:rFonts w:ascii="Times New Roman" w:hAnsi="Times New Roman"/>
          <w:sz w:val="20"/>
          <w:szCs w:val="20"/>
        </w:rPr>
        <w:t>final and conclusive</w:t>
      </w:r>
      <w:r w:rsidR="007509CF">
        <w:rPr>
          <w:rFonts w:ascii="Times New Roman" w:hAnsi="Times New Roman"/>
          <w:sz w:val="20"/>
          <w:szCs w:val="20"/>
        </w:rPr>
        <w:t>”</w:t>
      </w:r>
      <w:r w:rsidRPr="007509CF">
        <w:rPr>
          <w:rFonts w:ascii="Times New Roman" w:hAnsi="Times New Roman"/>
          <w:sz w:val="20"/>
          <w:szCs w:val="20"/>
        </w:rPr>
        <w:t xml:space="preserve"> and one </w:t>
      </w:r>
      <w:r w:rsidR="00145EF2">
        <w:rPr>
          <w:rFonts w:ascii="Times New Roman" w:hAnsi="Times New Roman"/>
          <w:sz w:val="20"/>
          <w:szCs w:val="20"/>
        </w:rPr>
        <w:t>that</w:t>
      </w:r>
      <w:r w:rsidR="00145EF2" w:rsidRPr="007509CF">
        <w:rPr>
          <w:rFonts w:ascii="Times New Roman" w:hAnsi="Times New Roman"/>
          <w:sz w:val="20"/>
          <w:szCs w:val="20"/>
        </w:rPr>
        <w:t xml:space="preserve"> </w:t>
      </w:r>
      <w:r w:rsidRPr="007509CF">
        <w:rPr>
          <w:rFonts w:ascii="Times New Roman" w:hAnsi="Times New Roman"/>
          <w:sz w:val="20"/>
          <w:szCs w:val="20"/>
        </w:rPr>
        <w:t xml:space="preserve">is subject to appeal.  Generally speaking, the Cayman Islands courts will enforce a judgment that is </w:t>
      </w:r>
      <w:r w:rsidR="007509CF">
        <w:rPr>
          <w:rFonts w:ascii="Times New Roman" w:hAnsi="Times New Roman"/>
          <w:sz w:val="20"/>
          <w:szCs w:val="20"/>
        </w:rPr>
        <w:t>“</w:t>
      </w:r>
      <w:r w:rsidRPr="007509CF">
        <w:rPr>
          <w:rFonts w:ascii="Times New Roman" w:hAnsi="Times New Roman"/>
          <w:sz w:val="20"/>
          <w:szCs w:val="20"/>
        </w:rPr>
        <w:t>final and conclusive</w:t>
      </w:r>
      <w:r w:rsidR="007509CF">
        <w:rPr>
          <w:rFonts w:ascii="Times New Roman" w:hAnsi="Times New Roman"/>
          <w:sz w:val="20"/>
          <w:szCs w:val="20"/>
        </w:rPr>
        <w:t>”</w:t>
      </w:r>
      <w:r w:rsidRPr="007509CF">
        <w:rPr>
          <w:rFonts w:ascii="Times New Roman" w:hAnsi="Times New Roman"/>
          <w:sz w:val="20"/>
          <w:szCs w:val="20"/>
        </w:rPr>
        <w:t xml:space="preserve"> in the sense that it cannot be reopened.  This will be the case even if the judgment is under appeal. </w:t>
      </w:r>
      <w:r w:rsidR="007509CF">
        <w:rPr>
          <w:rFonts w:ascii="Times New Roman" w:hAnsi="Times New Roman"/>
          <w:sz w:val="20"/>
          <w:szCs w:val="20"/>
        </w:rPr>
        <w:t xml:space="preserve"> </w:t>
      </w:r>
      <w:r w:rsidRPr="007509CF">
        <w:rPr>
          <w:rFonts w:ascii="Times New Roman" w:hAnsi="Times New Roman"/>
          <w:sz w:val="20"/>
          <w:szCs w:val="20"/>
        </w:rPr>
        <w:t xml:space="preserve">The potential unfairness to the judgment debtor by allowing enforcement whilst an appeal is pending can be addressed by granting a stay of execution pending the appeal.  A foreign judgment or arbitral award can be considered </w:t>
      </w:r>
      <w:r w:rsidRPr="007509CF">
        <w:rPr>
          <w:rFonts w:ascii="Times New Roman" w:hAnsi="Times New Roman"/>
          <w:i/>
          <w:sz w:val="20"/>
          <w:szCs w:val="20"/>
        </w:rPr>
        <w:t xml:space="preserve">res judicata </w:t>
      </w:r>
      <w:r w:rsidRPr="007509CF">
        <w:rPr>
          <w:rFonts w:ascii="Times New Roman" w:hAnsi="Times New Roman"/>
          <w:sz w:val="20"/>
          <w:szCs w:val="20"/>
        </w:rPr>
        <w:t xml:space="preserve">under Cayman Islands law as the law of the enforcing forum despite the fact that </w:t>
      </w:r>
      <w:r w:rsidR="00EF0C71" w:rsidRPr="007509CF">
        <w:rPr>
          <w:rFonts w:ascii="Times New Roman" w:hAnsi="Times New Roman"/>
          <w:sz w:val="20"/>
          <w:szCs w:val="20"/>
        </w:rPr>
        <w:t xml:space="preserve">it may not be </w:t>
      </w:r>
      <w:r w:rsidR="00EF0C71" w:rsidRPr="007509CF">
        <w:rPr>
          <w:rFonts w:ascii="Times New Roman" w:hAnsi="Times New Roman"/>
          <w:i/>
          <w:sz w:val="20"/>
          <w:szCs w:val="20"/>
        </w:rPr>
        <w:t xml:space="preserve">res judicata </w:t>
      </w:r>
      <w:r w:rsidR="00EF0C71" w:rsidRPr="007509CF">
        <w:rPr>
          <w:rFonts w:ascii="Times New Roman" w:hAnsi="Times New Roman"/>
          <w:sz w:val="20"/>
          <w:szCs w:val="20"/>
        </w:rPr>
        <w:t>in its own jurisdiction and/or</w:t>
      </w:r>
      <w:r w:rsidRPr="007509CF">
        <w:rPr>
          <w:rFonts w:ascii="Times New Roman" w:hAnsi="Times New Roman"/>
          <w:sz w:val="20"/>
          <w:szCs w:val="20"/>
        </w:rPr>
        <w:t xml:space="preserve"> is under appeal (</w:t>
      </w:r>
      <w:r w:rsidRPr="007509CF">
        <w:rPr>
          <w:rFonts w:ascii="Times New Roman" w:hAnsi="Times New Roman"/>
          <w:i/>
          <w:sz w:val="20"/>
          <w:szCs w:val="20"/>
        </w:rPr>
        <w:t xml:space="preserve">Gol Linhas Aereas SA v Mathinpatterson </w:t>
      </w:r>
      <w:r w:rsidRPr="007509CF">
        <w:rPr>
          <w:rFonts w:ascii="Times New Roman" w:hAnsi="Times New Roman"/>
          <w:sz w:val="20"/>
          <w:szCs w:val="20"/>
        </w:rPr>
        <w:t xml:space="preserve">CICA </w:t>
      </w:r>
      <w:r w:rsidR="00145EF2">
        <w:rPr>
          <w:rFonts w:ascii="Times New Roman" w:hAnsi="Times New Roman"/>
          <w:sz w:val="20"/>
          <w:szCs w:val="20"/>
        </w:rPr>
        <w:t xml:space="preserve">No </w:t>
      </w:r>
      <w:r w:rsidRPr="007509CF">
        <w:rPr>
          <w:rFonts w:ascii="Times New Roman" w:hAnsi="Times New Roman"/>
          <w:sz w:val="20"/>
          <w:szCs w:val="20"/>
        </w:rPr>
        <w:t xml:space="preserve">12 of 2019). </w:t>
      </w:r>
    </w:p>
    <w:p w:rsidR="00342AC6" w:rsidRPr="007509CF" w:rsidRDefault="00342AC6" w:rsidP="00342AC6">
      <w:pPr>
        <w:suppressAutoHyphens/>
        <w:autoSpaceDE w:val="0"/>
        <w:autoSpaceDN w:val="0"/>
        <w:adjustRightInd w:val="0"/>
        <w:spacing w:before="57" w:line="288" w:lineRule="auto"/>
        <w:textAlignment w:val="center"/>
        <w:rPr>
          <w:rFonts w:ascii="Times New Roman" w:hAnsi="Times New Roman"/>
          <w:sz w:val="20"/>
          <w:szCs w:val="20"/>
        </w:rPr>
      </w:pPr>
      <w:r w:rsidRPr="007509CF">
        <w:rPr>
          <w:rFonts w:ascii="Times New Roman" w:hAnsi="Times New Roman"/>
          <w:sz w:val="20"/>
          <w:szCs w:val="20"/>
        </w:rPr>
        <w:t xml:space="preserve">Practitioners should be aware that there are circumstances in which the Cayman Islands courts will not recognise foreign trust laws or enforce judgments that are inconsistent with Cayman Islands trust law and practice.  The </w:t>
      </w:r>
      <w:r w:rsidRPr="007509CF">
        <w:rPr>
          <w:rFonts w:ascii="Times New Roman" w:hAnsi="Times New Roman"/>
          <w:i/>
          <w:iCs/>
          <w:sz w:val="20"/>
          <w:szCs w:val="20"/>
        </w:rPr>
        <w:t>Trusts Law (2018 Revision)</w:t>
      </w:r>
      <w:r w:rsidRPr="007509CF">
        <w:rPr>
          <w:rFonts w:ascii="Times New Roman" w:hAnsi="Times New Roman"/>
          <w:sz w:val="20"/>
          <w:szCs w:val="20"/>
        </w:rPr>
        <w:t xml:space="preserve"> will prevent the enforcement of a foreign judgment setting aside the transfer of property into a Cayman Islands trust in certain circumstances.  For example, a trust might be established to prevent a relative from inheriting property as of right (also known as </w:t>
      </w:r>
      <w:r w:rsidR="007509CF">
        <w:rPr>
          <w:rFonts w:ascii="Times New Roman" w:hAnsi="Times New Roman"/>
          <w:sz w:val="20"/>
          <w:szCs w:val="20"/>
        </w:rPr>
        <w:t>“</w:t>
      </w:r>
      <w:r w:rsidRPr="007509CF">
        <w:rPr>
          <w:rFonts w:ascii="Times New Roman" w:hAnsi="Times New Roman"/>
          <w:sz w:val="20"/>
          <w:szCs w:val="20"/>
        </w:rPr>
        <w:t>forced heirship</w:t>
      </w:r>
      <w:r w:rsidR="007509CF">
        <w:rPr>
          <w:rFonts w:ascii="Times New Roman" w:hAnsi="Times New Roman"/>
          <w:sz w:val="20"/>
          <w:szCs w:val="20"/>
        </w:rPr>
        <w:t>”</w:t>
      </w:r>
      <w:r w:rsidRPr="007509CF">
        <w:rPr>
          <w:rFonts w:ascii="Times New Roman" w:hAnsi="Times New Roman"/>
          <w:sz w:val="20"/>
          <w:szCs w:val="20"/>
        </w:rPr>
        <w:t>) under the relevant foreign law.  The Cayman Islands courts will not recognise a judgment of a foreign court requiring the property to be returned.</w:t>
      </w:r>
    </w:p>
    <w:p w:rsidR="00342AC6" w:rsidRPr="007509CF" w:rsidRDefault="00342AC6" w:rsidP="00342AC6">
      <w:pPr>
        <w:suppressAutoHyphens/>
        <w:autoSpaceDE w:val="0"/>
        <w:autoSpaceDN w:val="0"/>
        <w:adjustRightInd w:val="0"/>
        <w:spacing w:before="227" w:after="57" w:line="288" w:lineRule="auto"/>
        <w:ind w:left="170"/>
        <w:jc w:val="left"/>
        <w:textAlignment w:val="center"/>
        <w:rPr>
          <w:rFonts w:ascii="Times New Roman" w:hAnsi="Times New Roman"/>
          <w:b/>
          <w:bCs/>
          <w:sz w:val="20"/>
          <w:szCs w:val="20"/>
        </w:rPr>
      </w:pPr>
      <w:r w:rsidRPr="007509CF">
        <w:rPr>
          <w:rFonts w:ascii="Times New Roman" w:hAnsi="Times New Roman"/>
          <w:b/>
          <w:bCs/>
          <w:sz w:val="20"/>
          <w:szCs w:val="20"/>
        </w:rPr>
        <w:t>Cross-border litigation</w:t>
      </w:r>
    </w:p>
    <w:p w:rsidR="00342AC6" w:rsidRPr="007509CF" w:rsidRDefault="00342AC6" w:rsidP="00342AC6">
      <w:pPr>
        <w:suppressAutoHyphens/>
        <w:autoSpaceDE w:val="0"/>
        <w:autoSpaceDN w:val="0"/>
        <w:adjustRightInd w:val="0"/>
        <w:spacing w:before="57" w:line="288" w:lineRule="auto"/>
        <w:textAlignment w:val="center"/>
        <w:rPr>
          <w:rFonts w:ascii="Times New Roman" w:hAnsi="Times New Roman"/>
          <w:spacing w:val="1"/>
          <w:sz w:val="20"/>
          <w:szCs w:val="20"/>
        </w:rPr>
      </w:pPr>
      <w:r w:rsidRPr="007509CF">
        <w:rPr>
          <w:rFonts w:ascii="Times New Roman" w:hAnsi="Times New Roman"/>
          <w:spacing w:val="1"/>
          <w:sz w:val="20"/>
          <w:szCs w:val="20"/>
        </w:rPr>
        <w:t xml:space="preserve">A very large part of the business of the Cayman Islands courts is cross-border in nature.  The judges of the Cayman Islands courts regularly interact and cooperate with judges from other jurisdictions.  The Cayman Islands courts are, in principle, receptive to requests for judicial assistance from other courts, including requests for the production of documents or the examination/deposition of witnesses located in the Cayman Islands.  The Cayman Islands courts generally adopt the approach taken in the well-known English case of </w:t>
      </w:r>
      <w:r w:rsidRPr="007509CF">
        <w:rPr>
          <w:rFonts w:ascii="Times New Roman" w:hAnsi="Times New Roman"/>
          <w:i/>
          <w:iCs/>
          <w:spacing w:val="1"/>
          <w:sz w:val="20"/>
          <w:szCs w:val="20"/>
        </w:rPr>
        <w:t>Rio Tinto Zinc v Westinghouse</w:t>
      </w:r>
      <w:r w:rsidRPr="007509CF">
        <w:rPr>
          <w:rFonts w:ascii="Times New Roman" w:hAnsi="Times New Roman"/>
          <w:spacing w:val="1"/>
          <w:sz w:val="20"/>
          <w:szCs w:val="20"/>
        </w:rPr>
        <w:t xml:space="preserve"> [1978] A.C. 547, where it was said: </w:t>
      </w:r>
      <w:r w:rsidR="007509CF">
        <w:rPr>
          <w:rFonts w:ascii="Times New Roman" w:hAnsi="Times New Roman"/>
          <w:spacing w:val="1"/>
          <w:sz w:val="20"/>
          <w:szCs w:val="20"/>
        </w:rPr>
        <w:t>“</w:t>
      </w:r>
      <w:r w:rsidRPr="007509CF">
        <w:rPr>
          <w:rFonts w:ascii="Times New Roman" w:hAnsi="Times New Roman"/>
          <w:i/>
          <w:iCs/>
          <w:spacing w:val="1"/>
          <w:sz w:val="20"/>
          <w:szCs w:val="20"/>
        </w:rPr>
        <w:t>It is our duty and our pleasure to do all we can to assist that court, just as we would expect the [foreign court] to help us in the circumstances</w:t>
      </w:r>
      <w:r w:rsidRPr="007509CF">
        <w:rPr>
          <w:rFonts w:ascii="Times New Roman" w:hAnsi="Times New Roman"/>
          <w:spacing w:val="1"/>
          <w:sz w:val="20"/>
          <w:szCs w:val="20"/>
        </w:rPr>
        <w:t>.</w:t>
      </w:r>
      <w:r w:rsidR="007509CF">
        <w:rPr>
          <w:rFonts w:ascii="Times New Roman" w:hAnsi="Times New Roman"/>
          <w:spacing w:val="1"/>
          <w:sz w:val="20"/>
          <w:szCs w:val="20"/>
        </w:rPr>
        <w:t>”</w:t>
      </w:r>
    </w:p>
    <w:p w:rsidR="00342AC6" w:rsidRPr="007509CF" w:rsidRDefault="00342AC6" w:rsidP="00342AC6">
      <w:pPr>
        <w:suppressAutoHyphens/>
        <w:autoSpaceDE w:val="0"/>
        <w:autoSpaceDN w:val="0"/>
        <w:adjustRightInd w:val="0"/>
        <w:spacing w:before="57" w:line="288" w:lineRule="auto"/>
        <w:textAlignment w:val="center"/>
        <w:rPr>
          <w:rFonts w:ascii="Times New Roman" w:hAnsi="Times New Roman"/>
          <w:sz w:val="20"/>
          <w:szCs w:val="20"/>
        </w:rPr>
      </w:pPr>
      <w:r w:rsidRPr="007509CF">
        <w:rPr>
          <w:rFonts w:ascii="Times New Roman" w:hAnsi="Times New Roman"/>
          <w:sz w:val="20"/>
          <w:szCs w:val="20"/>
        </w:rPr>
        <w:t>A good example of successful cooperation between the Cayman Islands and other courts is the collapse of the Bank of Credit and Commerce International (</w:t>
      </w:r>
      <w:r w:rsidR="007509CF">
        <w:rPr>
          <w:rFonts w:ascii="Times New Roman" w:hAnsi="Times New Roman"/>
          <w:sz w:val="20"/>
          <w:szCs w:val="20"/>
        </w:rPr>
        <w:t>“</w:t>
      </w:r>
      <w:r w:rsidRPr="007509CF">
        <w:rPr>
          <w:rFonts w:ascii="Times New Roman" w:hAnsi="Times New Roman"/>
          <w:sz w:val="20"/>
          <w:szCs w:val="20"/>
        </w:rPr>
        <w:t>BCCI</w:t>
      </w:r>
      <w:r w:rsidR="007509CF">
        <w:rPr>
          <w:rFonts w:ascii="Times New Roman" w:hAnsi="Times New Roman"/>
          <w:sz w:val="20"/>
          <w:szCs w:val="20"/>
        </w:rPr>
        <w:t>”</w:t>
      </w:r>
      <w:r w:rsidRPr="007509CF">
        <w:rPr>
          <w:rFonts w:ascii="Times New Roman" w:hAnsi="Times New Roman"/>
          <w:sz w:val="20"/>
          <w:szCs w:val="20"/>
        </w:rPr>
        <w:t>).  BCCI</w:t>
      </w:r>
      <w:r w:rsidR="007509CF">
        <w:rPr>
          <w:rFonts w:ascii="Times New Roman" w:hAnsi="Times New Roman"/>
          <w:sz w:val="20"/>
          <w:szCs w:val="20"/>
        </w:rPr>
        <w:t>’</w:t>
      </w:r>
      <w:r w:rsidRPr="007509CF">
        <w:rPr>
          <w:rFonts w:ascii="Times New Roman" w:hAnsi="Times New Roman"/>
          <w:sz w:val="20"/>
          <w:szCs w:val="20"/>
        </w:rPr>
        <w:t>s worldwide operations were put into a coordinated liquidation process in 1991.  The liquidation has since resulted in substantial recoveries for creditors.  Central to the success of the liquidation was a plea-bargaining agreement struck between the Cayman Islands liquidators and the United States authorities.  The following extracts from one of the overseas liquidator</w:t>
      </w:r>
      <w:r w:rsidR="007509CF">
        <w:rPr>
          <w:rFonts w:ascii="Times New Roman" w:hAnsi="Times New Roman"/>
          <w:sz w:val="20"/>
          <w:szCs w:val="20"/>
        </w:rPr>
        <w:t>’</w:t>
      </w:r>
      <w:r w:rsidRPr="007509CF">
        <w:rPr>
          <w:rFonts w:ascii="Times New Roman" w:hAnsi="Times New Roman"/>
          <w:sz w:val="20"/>
          <w:szCs w:val="20"/>
        </w:rPr>
        <w:t>s reports confirm the extent of the cooperation involved.</w:t>
      </w:r>
    </w:p>
    <w:p w:rsidR="00342AC6" w:rsidRPr="007509CF" w:rsidRDefault="00342AC6" w:rsidP="00342AC6">
      <w:pPr>
        <w:suppressAutoHyphens/>
        <w:autoSpaceDE w:val="0"/>
        <w:autoSpaceDN w:val="0"/>
        <w:adjustRightInd w:val="0"/>
        <w:spacing w:line="240" w:lineRule="atLeast"/>
        <w:ind w:left="340" w:hanging="340"/>
        <w:textAlignment w:val="center"/>
        <w:rPr>
          <w:rFonts w:ascii="Times New Roman" w:hAnsi="Times New Roman"/>
          <w:sz w:val="20"/>
          <w:szCs w:val="20"/>
        </w:rPr>
      </w:pPr>
      <w:r w:rsidRPr="007509CF">
        <w:rPr>
          <w:rFonts w:ascii="Times New Roman" w:hAnsi="Times New Roman"/>
          <w:sz w:val="20"/>
          <w:szCs w:val="20"/>
        </w:rPr>
        <w:tab/>
      </w:r>
      <w:r w:rsidR="007509CF">
        <w:rPr>
          <w:rFonts w:ascii="Times New Roman" w:hAnsi="Times New Roman"/>
          <w:sz w:val="20"/>
          <w:szCs w:val="20"/>
        </w:rPr>
        <w:t>“</w:t>
      </w:r>
      <w:r w:rsidRPr="007509CF">
        <w:rPr>
          <w:rFonts w:ascii="Times New Roman" w:hAnsi="Times New Roman"/>
          <w:i/>
          <w:iCs/>
          <w:sz w:val="20"/>
          <w:szCs w:val="20"/>
        </w:rPr>
        <w:t>In November and December of 1991, under the supervision of the Grand Court of the Cayman Islands, the District Court of Luxembourg, and the High Court in England, the BCCI liquidators negotiated an historic plea and co-operation agreement with the United States.  The Agreement was presented to the Grand Court of the Cayman Islands and approved in December 1991</w:t>
      </w:r>
      <w:r w:rsidRPr="007509CF">
        <w:rPr>
          <w:rFonts w:ascii="Times New Roman" w:hAnsi="Times New Roman"/>
          <w:sz w:val="20"/>
          <w:szCs w:val="20"/>
        </w:rPr>
        <w:t>.</w:t>
      </w:r>
      <w:r w:rsidR="007509CF">
        <w:rPr>
          <w:rFonts w:ascii="Times New Roman" w:hAnsi="Times New Roman"/>
          <w:sz w:val="20"/>
          <w:szCs w:val="20"/>
        </w:rPr>
        <w:t>”</w:t>
      </w:r>
    </w:p>
    <w:p w:rsidR="00342AC6" w:rsidRPr="007509CF" w:rsidRDefault="00342AC6" w:rsidP="00342AC6">
      <w:pPr>
        <w:suppressAutoHyphens/>
        <w:autoSpaceDE w:val="0"/>
        <w:autoSpaceDN w:val="0"/>
        <w:adjustRightInd w:val="0"/>
        <w:spacing w:line="240" w:lineRule="atLeast"/>
        <w:ind w:left="340" w:hanging="340"/>
        <w:textAlignment w:val="center"/>
        <w:rPr>
          <w:rFonts w:ascii="Times New Roman" w:hAnsi="Times New Roman"/>
          <w:i/>
          <w:iCs/>
          <w:sz w:val="20"/>
          <w:szCs w:val="20"/>
        </w:rPr>
      </w:pPr>
      <w:r w:rsidRPr="007509CF">
        <w:rPr>
          <w:rFonts w:ascii="Times New Roman" w:hAnsi="Times New Roman"/>
          <w:sz w:val="20"/>
          <w:szCs w:val="20"/>
        </w:rPr>
        <w:tab/>
      </w:r>
      <w:r w:rsidR="007509CF">
        <w:rPr>
          <w:rFonts w:ascii="Times New Roman" w:hAnsi="Times New Roman"/>
          <w:sz w:val="20"/>
          <w:szCs w:val="20"/>
        </w:rPr>
        <w:t>“</w:t>
      </w:r>
      <w:r w:rsidRPr="007509CF">
        <w:rPr>
          <w:rFonts w:ascii="Times New Roman" w:hAnsi="Times New Roman"/>
          <w:i/>
          <w:iCs/>
          <w:sz w:val="20"/>
          <w:szCs w:val="20"/>
        </w:rPr>
        <w:t>In accepting this agreement, Judge Joyce Hens Green of the United States District Court for the District of Columbia stated:</w:t>
      </w:r>
    </w:p>
    <w:p w:rsidR="00342AC6" w:rsidRPr="007509CF" w:rsidRDefault="00342AC6" w:rsidP="00342AC6">
      <w:pPr>
        <w:suppressAutoHyphens/>
        <w:autoSpaceDE w:val="0"/>
        <w:autoSpaceDN w:val="0"/>
        <w:adjustRightInd w:val="0"/>
        <w:spacing w:line="240" w:lineRule="atLeast"/>
        <w:ind w:left="340" w:hanging="340"/>
        <w:textAlignment w:val="center"/>
        <w:rPr>
          <w:rFonts w:ascii="Times New Roman" w:hAnsi="Times New Roman"/>
          <w:spacing w:val="1"/>
          <w:sz w:val="20"/>
          <w:szCs w:val="20"/>
        </w:rPr>
      </w:pPr>
      <w:r w:rsidRPr="007509CF">
        <w:rPr>
          <w:rFonts w:ascii="Times New Roman" w:hAnsi="Times New Roman"/>
          <w:i/>
          <w:iCs/>
          <w:spacing w:val="1"/>
          <w:sz w:val="20"/>
          <w:szCs w:val="20"/>
        </w:rPr>
        <w:tab/>
        <w:t>The Plea Agreement now before the Court reflects, on a truly global measure, extraordinary efforts and amazing co-operation of a multitude of signatories representing myriad jurisdictions, to fully settle actions against the corporate defendants, which had operated in 69 countries around the globe, and through the plea restitution, to locate and protect all realizable assets of BCCI for the ultimate benefit of the depositors, creditors, United States financial institutions, and other victims of BCCI.  The promise of the Plea Agreement is that those extraordinary efforts, that amazing co-operation, should continue</w:t>
      </w:r>
      <w:r w:rsidRPr="007509CF">
        <w:rPr>
          <w:rFonts w:ascii="Times New Roman" w:hAnsi="Times New Roman"/>
          <w:spacing w:val="1"/>
          <w:sz w:val="20"/>
          <w:szCs w:val="20"/>
        </w:rPr>
        <w:t>.</w:t>
      </w:r>
      <w:r w:rsidR="007509CF">
        <w:rPr>
          <w:rFonts w:ascii="Times New Roman" w:hAnsi="Times New Roman"/>
          <w:spacing w:val="1"/>
          <w:sz w:val="20"/>
          <w:szCs w:val="20"/>
        </w:rPr>
        <w:t>”</w:t>
      </w:r>
    </w:p>
    <w:p w:rsidR="00342AC6" w:rsidRPr="007509CF" w:rsidRDefault="00342AC6" w:rsidP="00342AC6">
      <w:pPr>
        <w:suppressAutoHyphens/>
        <w:autoSpaceDE w:val="0"/>
        <w:autoSpaceDN w:val="0"/>
        <w:adjustRightInd w:val="0"/>
        <w:spacing w:before="57" w:line="288" w:lineRule="auto"/>
        <w:textAlignment w:val="center"/>
        <w:rPr>
          <w:rFonts w:ascii="Times New Roman" w:hAnsi="Times New Roman"/>
          <w:sz w:val="20"/>
          <w:szCs w:val="20"/>
        </w:rPr>
      </w:pPr>
      <w:r w:rsidRPr="007509CF">
        <w:rPr>
          <w:rFonts w:ascii="Times New Roman" w:hAnsi="Times New Roman"/>
          <w:sz w:val="20"/>
          <w:szCs w:val="20"/>
        </w:rPr>
        <w:t xml:space="preserve">Cross-border insolvencies have continued to generate ground-breaking decisions.  The English Supreme Court decision in </w:t>
      </w:r>
      <w:r w:rsidRPr="007509CF">
        <w:rPr>
          <w:rFonts w:ascii="Times New Roman" w:hAnsi="Times New Roman"/>
          <w:i/>
          <w:iCs/>
          <w:sz w:val="20"/>
          <w:szCs w:val="20"/>
        </w:rPr>
        <w:t>Rubin v Eurofinance</w:t>
      </w:r>
      <w:r w:rsidRPr="007509CF">
        <w:rPr>
          <w:rFonts w:ascii="Times New Roman" w:hAnsi="Times New Roman"/>
          <w:sz w:val="20"/>
          <w:szCs w:val="20"/>
        </w:rPr>
        <w:t xml:space="preserve"> [2012] UKSC 46 is particularly relevant to offshore litigation.  Here the English Supreme Court established that a judgment made in foreign insolvency proceedings would not be enforced against an English defendant, unless the defendant had been within the jurisdiction of the foreign court.</w:t>
      </w:r>
    </w:p>
    <w:p w:rsidR="00342AC6" w:rsidRPr="007509CF" w:rsidRDefault="00342AC6" w:rsidP="00342AC6">
      <w:pPr>
        <w:suppressAutoHyphens/>
        <w:autoSpaceDE w:val="0"/>
        <w:autoSpaceDN w:val="0"/>
        <w:adjustRightInd w:val="0"/>
        <w:spacing w:before="57" w:line="288" w:lineRule="auto"/>
        <w:textAlignment w:val="center"/>
        <w:rPr>
          <w:rFonts w:ascii="Times New Roman" w:hAnsi="Times New Roman"/>
          <w:spacing w:val="-2"/>
          <w:sz w:val="20"/>
          <w:szCs w:val="20"/>
        </w:rPr>
      </w:pPr>
      <w:r w:rsidRPr="007509CF">
        <w:rPr>
          <w:rFonts w:ascii="Times New Roman" w:hAnsi="Times New Roman"/>
          <w:spacing w:val="-2"/>
          <w:sz w:val="20"/>
          <w:szCs w:val="20"/>
        </w:rPr>
        <w:t>It had previously been suggested that judgments made in insolvency proceedings in the country of an insolvent company</w:t>
      </w:r>
      <w:r w:rsidR="007509CF">
        <w:rPr>
          <w:rFonts w:ascii="Times New Roman" w:hAnsi="Times New Roman"/>
          <w:spacing w:val="-2"/>
          <w:sz w:val="20"/>
          <w:szCs w:val="20"/>
        </w:rPr>
        <w:t>’</w:t>
      </w:r>
      <w:r w:rsidRPr="007509CF">
        <w:rPr>
          <w:rFonts w:ascii="Times New Roman" w:hAnsi="Times New Roman"/>
          <w:spacing w:val="-2"/>
          <w:sz w:val="20"/>
          <w:szCs w:val="20"/>
        </w:rPr>
        <w:t xml:space="preserve">s incorporation or centre of main interests (including claims to set aside pre-insolvency transactions) should be enforced against defendants domiciled elsewhere, even where they had not submitted to the insolvency jurisdiction.  The decision in </w:t>
      </w:r>
      <w:r w:rsidRPr="007509CF">
        <w:rPr>
          <w:rFonts w:ascii="Times New Roman" w:hAnsi="Times New Roman"/>
          <w:i/>
          <w:iCs/>
          <w:spacing w:val="-2"/>
          <w:sz w:val="20"/>
          <w:szCs w:val="20"/>
        </w:rPr>
        <w:t>Rubin</w:t>
      </w:r>
      <w:r w:rsidRPr="007509CF">
        <w:rPr>
          <w:rFonts w:ascii="Times New Roman" w:hAnsi="Times New Roman"/>
          <w:spacing w:val="-2"/>
          <w:sz w:val="20"/>
          <w:szCs w:val="20"/>
        </w:rPr>
        <w:t xml:space="preserve"> has been followed by the courts in the Cayman Islands and other offshore jurisdictions.</w:t>
      </w:r>
    </w:p>
    <w:p w:rsidR="00342AC6" w:rsidRPr="007509CF" w:rsidRDefault="00342AC6" w:rsidP="00342AC6">
      <w:pPr>
        <w:suppressAutoHyphens/>
        <w:autoSpaceDE w:val="0"/>
        <w:autoSpaceDN w:val="0"/>
        <w:adjustRightInd w:val="0"/>
        <w:spacing w:before="57" w:line="288" w:lineRule="auto"/>
        <w:textAlignment w:val="center"/>
        <w:rPr>
          <w:rFonts w:ascii="Times New Roman" w:hAnsi="Times New Roman"/>
          <w:sz w:val="20"/>
          <w:szCs w:val="20"/>
        </w:rPr>
      </w:pPr>
      <w:r w:rsidRPr="007509CF">
        <w:rPr>
          <w:rFonts w:ascii="Times New Roman" w:hAnsi="Times New Roman"/>
          <w:sz w:val="20"/>
          <w:szCs w:val="20"/>
        </w:rPr>
        <w:t xml:space="preserve">An interesting variation on this theme was presented in the Cayman Islands case of </w:t>
      </w:r>
      <w:r w:rsidRPr="007509CF">
        <w:rPr>
          <w:rFonts w:ascii="Times New Roman" w:hAnsi="Times New Roman"/>
          <w:i/>
          <w:iCs/>
          <w:sz w:val="20"/>
          <w:szCs w:val="20"/>
        </w:rPr>
        <w:t>Irving Picard and Bernard Madoff Investment Securities LLC (in Securities Investor Protection Act Liquidation) v Primeo Fund (In Official Liquidation)</w:t>
      </w:r>
      <w:r w:rsidRPr="007509CF">
        <w:rPr>
          <w:rFonts w:ascii="Times New Roman" w:hAnsi="Times New Roman"/>
          <w:sz w:val="20"/>
          <w:szCs w:val="20"/>
        </w:rPr>
        <w:t xml:space="preserve"> [Court of Appeal, 16 April 2014].  In this case, applying </w:t>
      </w:r>
      <w:r w:rsidRPr="007509CF">
        <w:rPr>
          <w:rFonts w:ascii="Times New Roman" w:hAnsi="Times New Roman"/>
          <w:i/>
          <w:iCs/>
          <w:sz w:val="20"/>
          <w:szCs w:val="20"/>
        </w:rPr>
        <w:t>Rubin</w:t>
      </w:r>
      <w:r w:rsidRPr="007509CF">
        <w:rPr>
          <w:rFonts w:ascii="Times New Roman" w:hAnsi="Times New Roman"/>
          <w:sz w:val="20"/>
          <w:szCs w:val="20"/>
        </w:rPr>
        <w:t>, liquidating trustees appointed in the United States brought proceedings in the Cayman Islands to recover assets alleged to be due to the bankrupt Madoff estate.  The proceedings had to be brought in the Cayman Islands because the defendants were not within the jurisdiction of the United States bankruptcy courts.</w:t>
      </w:r>
    </w:p>
    <w:p w:rsidR="00342AC6" w:rsidRPr="007509CF" w:rsidRDefault="00342AC6" w:rsidP="00342AC6">
      <w:pPr>
        <w:suppressAutoHyphens/>
        <w:autoSpaceDE w:val="0"/>
        <w:autoSpaceDN w:val="0"/>
        <w:adjustRightInd w:val="0"/>
        <w:spacing w:before="57" w:line="288" w:lineRule="auto"/>
        <w:textAlignment w:val="center"/>
        <w:rPr>
          <w:rFonts w:ascii="Times New Roman" w:hAnsi="Times New Roman"/>
          <w:spacing w:val="-2"/>
          <w:sz w:val="20"/>
          <w:szCs w:val="20"/>
        </w:rPr>
      </w:pPr>
      <w:r w:rsidRPr="007509CF">
        <w:rPr>
          <w:rFonts w:ascii="Times New Roman" w:hAnsi="Times New Roman"/>
          <w:spacing w:val="-2"/>
          <w:sz w:val="20"/>
          <w:szCs w:val="20"/>
        </w:rPr>
        <w:t xml:space="preserve">However, the liquidating trustees sought to argue (amongst other things) that the Cayman Islands courts should apply the relevant United States bankruptcy laws rather than Cayman Islands law.  It was argued that it was open to the Cayman Islands courts to apply foreign bankruptcy laws, based on sections of the Cayman Islands companies legislation that encourage cooperation with foreign office-holders.  The court found that any avoidance proceedings (e.g. proceedings to set aside suspect transactions) a foreign office-holder wishes to bring in the Cayman Islands would have to be brought under the applicable Cayman Islands legislation. </w:t>
      </w:r>
    </w:p>
    <w:p w:rsidR="00342AC6" w:rsidRPr="007509CF" w:rsidRDefault="00342AC6" w:rsidP="00342AC6">
      <w:pPr>
        <w:suppressAutoHyphens/>
        <w:autoSpaceDE w:val="0"/>
        <w:autoSpaceDN w:val="0"/>
        <w:adjustRightInd w:val="0"/>
        <w:spacing w:before="57" w:line="288" w:lineRule="auto"/>
        <w:textAlignment w:val="center"/>
        <w:rPr>
          <w:rFonts w:ascii="Times New Roman" w:hAnsi="Times New Roman"/>
          <w:spacing w:val="-2"/>
          <w:sz w:val="20"/>
          <w:szCs w:val="20"/>
        </w:rPr>
      </w:pPr>
      <w:r w:rsidRPr="007509CF">
        <w:rPr>
          <w:rFonts w:ascii="Times New Roman" w:hAnsi="Times New Roman"/>
          <w:spacing w:val="-2"/>
          <w:sz w:val="20"/>
          <w:szCs w:val="20"/>
        </w:rPr>
        <w:t xml:space="preserve">The Cayman Islands is also a developing jurisdiction in terms of cross-border restructuring.  One recent case of note is the complex restructuring through four schemes of arrangement of the Ocean Rig offshore drilling group.  The Cayman Islands court supervised and implemented a restructuring of the group as an alternative to a Chapter 11 filing in the United States, which was ruled out primarily on cost grounds.  The Cayman restructuring was, however, recognised and subsequently enforced by the United States courts.  It constitutes a positive endorsement of the restructuring credentials of the Cayman Islands.  Note there is also legislation in prospect </w:t>
      </w:r>
      <w:r w:rsidR="005059AD">
        <w:rPr>
          <w:rFonts w:ascii="Times New Roman" w:hAnsi="Times New Roman"/>
          <w:spacing w:val="-2"/>
          <w:sz w:val="20"/>
          <w:szCs w:val="20"/>
        </w:rPr>
        <w:t>that</w:t>
      </w:r>
      <w:r w:rsidR="005059AD" w:rsidRPr="007509CF">
        <w:rPr>
          <w:rFonts w:ascii="Times New Roman" w:hAnsi="Times New Roman"/>
          <w:spacing w:val="-2"/>
          <w:sz w:val="20"/>
          <w:szCs w:val="20"/>
        </w:rPr>
        <w:t xml:space="preserve"> </w:t>
      </w:r>
      <w:r w:rsidRPr="007509CF">
        <w:rPr>
          <w:rFonts w:ascii="Times New Roman" w:hAnsi="Times New Roman"/>
          <w:spacing w:val="-2"/>
          <w:sz w:val="20"/>
          <w:szCs w:val="20"/>
        </w:rPr>
        <w:t xml:space="preserve">will introduce an insolvency practitioner-led turnaround regime.  </w:t>
      </w:r>
    </w:p>
    <w:p w:rsidR="00342AC6" w:rsidRPr="007509CF" w:rsidRDefault="00342AC6" w:rsidP="00342AC6">
      <w:pPr>
        <w:suppressAutoHyphens/>
        <w:autoSpaceDE w:val="0"/>
        <w:autoSpaceDN w:val="0"/>
        <w:adjustRightInd w:val="0"/>
        <w:spacing w:before="227" w:after="57" w:line="288" w:lineRule="auto"/>
        <w:ind w:left="170"/>
        <w:jc w:val="left"/>
        <w:textAlignment w:val="center"/>
        <w:rPr>
          <w:rFonts w:ascii="Times New Roman" w:hAnsi="Times New Roman"/>
          <w:b/>
          <w:bCs/>
          <w:sz w:val="20"/>
          <w:szCs w:val="20"/>
        </w:rPr>
      </w:pPr>
      <w:r w:rsidRPr="007509CF">
        <w:rPr>
          <w:rFonts w:ascii="Times New Roman" w:hAnsi="Times New Roman"/>
          <w:b/>
          <w:bCs/>
          <w:sz w:val="20"/>
          <w:szCs w:val="20"/>
        </w:rPr>
        <w:t>Trusts and private client disputes</w:t>
      </w:r>
    </w:p>
    <w:p w:rsidR="00342AC6" w:rsidRPr="007509CF" w:rsidRDefault="00342AC6" w:rsidP="00342AC6">
      <w:pPr>
        <w:suppressAutoHyphens/>
        <w:autoSpaceDE w:val="0"/>
        <w:autoSpaceDN w:val="0"/>
        <w:adjustRightInd w:val="0"/>
        <w:spacing w:before="57" w:line="288" w:lineRule="auto"/>
        <w:textAlignment w:val="center"/>
        <w:rPr>
          <w:rFonts w:ascii="Times New Roman" w:hAnsi="Times New Roman"/>
          <w:sz w:val="20"/>
          <w:szCs w:val="20"/>
        </w:rPr>
      </w:pPr>
      <w:r w:rsidRPr="007509CF">
        <w:rPr>
          <w:rFonts w:ascii="Times New Roman" w:hAnsi="Times New Roman"/>
          <w:sz w:val="20"/>
          <w:szCs w:val="20"/>
        </w:rPr>
        <w:t>The Cayman Islands is one of the leading jurisdictions for the establishment and management of trusts and has a sophisticated professional trust sector, modern trusts legislation and an effective judicial system.  Cayman</w:t>
      </w:r>
      <w:r w:rsidR="007509CF">
        <w:rPr>
          <w:rFonts w:ascii="Times New Roman" w:hAnsi="Times New Roman"/>
          <w:sz w:val="20"/>
          <w:szCs w:val="20"/>
        </w:rPr>
        <w:t>’</w:t>
      </w:r>
      <w:r w:rsidRPr="007509CF">
        <w:rPr>
          <w:rFonts w:ascii="Times New Roman" w:hAnsi="Times New Roman"/>
          <w:sz w:val="20"/>
          <w:szCs w:val="20"/>
        </w:rPr>
        <w:t xml:space="preserve">s firewall provisions generally operate to protect trusts governed by Cayman Islands law, and this means that provisions of foreign laws do not allow, as a right, foreign parties to attack a Cayman trust.  This is particularly relevant in the context of jurisdictions with </w:t>
      </w:r>
      <w:r w:rsidR="007509CF">
        <w:rPr>
          <w:rFonts w:ascii="Times New Roman" w:hAnsi="Times New Roman"/>
          <w:sz w:val="20"/>
          <w:szCs w:val="20"/>
        </w:rPr>
        <w:t>“</w:t>
      </w:r>
      <w:r w:rsidRPr="007509CF">
        <w:rPr>
          <w:rFonts w:ascii="Times New Roman" w:hAnsi="Times New Roman"/>
          <w:sz w:val="20"/>
          <w:szCs w:val="20"/>
        </w:rPr>
        <w:t>forced heirship</w:t>
      </w:r>
      <w:r w:rsidR="007509CF">
        <w:rPr>
          <w:rFonts w:ascii="Times New Roman" w:hAnsi="Times New Roman"/>
          <w:sz w:val="20"/>
          <w:szCs w:val="20"/>
        </w:rPr>
        <w:t>”</w:t>
      </w:r>
      <w:r w:rsidRPr="007509CF">
        <w:rPr>
          <w:rFonts w:ascii="Times New Roman" w:hAnsi="Times New Roman"/>
          <w:sz w:val="20"/>
          <w:szCs w:val="20"/>
        </w:rPr>
        <w:t xml:space="preserve"> restrictions, and the protection extends to those trying to assert a personal relationship with the settlor or a beneficiary. </w:t>
      </w:r>
    </w:p>
    <w:p w:rsidR="00342AC6" w:rsidRPr="007509CF" w:rsidRDefault="00342AC6" w:rsidP="00342AC6">
      <w:pPr>
        <w:suppressAutoHyphens/>
        <w:autoSpaceDE w:val="0"/>
        <w:autoSpaceDN w:val="0"/>
        <w:adjustRightInd w:val="0"/>
        <w:spacing w:before="57" w:line="288" w:lineRule="auto"/>
        <w:textAlignment w:val="center"/>
        <w:rPr>
          <w:rFonts w:ascii="Times New Roman" w:hAnsi="Times New Roman"/>
          <w:sz w:val="20"/>
          <w:szCs w:val="20"/>
        </w:rPr>
      </w:pPr>
      <w:r w:rsidRPr="007509CF">
        <w:rPr>
          <w:rFonts w:ascii="Times New Roman" w:hAnsi="Times New Roman"/>
          <w:sz w:val="20"/>
          <w:szCs w:val="20"/>
        </w:rPr>
        <w:t xml:space="preserve">Trusts disputes are generally dealt with in the FSD and will cover Beddoe applications, breach of trust claims, and beneficiaries seeking to enforce their rights in respect of a particular trust settlement. </w:t>
      </w:r>
    </w:p>
    <w:p w:rsidR="00342AC6" w:rsidRPr="007509CF" w:rsidRDefault="00342AC6" w:rsidP="00342AC6">
      <w:pPr>
        <w:suppressAutoHyphens/>
        <w:autoSpaceDE w:val="0"/>
        <w:autoSpaceDN w:val="0"/>
        <w:adjustRightInd w:val="0"/>
        <w:spacing w:before="57" w:line="288" w:lineRule="auto"/>
        <w:textAlignment w:val="center"/>
        <w:rPr>
          <w:rFonts w:ascii="Times New Roman" w:hAnsi="Times New Roman"/>
          <w:sz w:val="20"/>
          <w:szCs w:val="20"/>
        </w:rPr>
      </w:pPr>
      <w:r w:rsidRPr="007509CF">
        <w:rPr>
          <w:rFonts w:ascii="Times New Roman" w:hAnsi="Times New Roman"/>
          <w:sz w:val="20"/>
          <w:szCs w:val="20"/>
        </w:rPr>
        <w:t>Cayman</w:t>
      </w:r>
      <w:r w:rsidR="007509CF">
        <w:rPr>
          <w:rFonts w:ascii="Times New Roman" w:hAnsi="Times New Roman"/>
          <w:sz w:val="20"/>
          <w:szCs w:val="20"/>
        </w:rPr>
        <w:t>’</w:t>
      </w:r>
      <w:r w:rsidRPr="007509CF">
        <w:rPr>
          <w:rFonts w:ascii="Times New Roman" w:hAnsi="Times New Roman"/>
          <w:sz w:val="20"/>
          <w:szCs w:val="20"/>
        </w:rPr>
        <w:t xml:space="preserve">s </w:t>
      </w:r>
      <w:r w:rsidRPr="007509CF">
        <w:rPr>
          <w:rFonts w:ascii="Times New Roman" w:hAnsi="Times New Roman"/>
          <w:i/>
          <w:iCs/>
          <w:sz w:val="20"/>
          <w:szCs w:val="20"/>
        </w:rPr>
        <w:t>Trusts Law</w:t>
      </w:r>
      <w:r w:rsidRPr="007509CF">
        <w:rPr>
          <w:rFonts w:ascii="Times New Roman" w:hAnsi="Times New Roman"/>
          <w:sz w:val="20"/>
          <w:szCs w:val="20"/>
        </w:rPr>
        <w:t xml:space="preserve"> was amended in early 2019 to enhance the inherent jurisdiction of the Cayman Grand Court in relation to the administration of trusts.  In particular, the amendment gives the Grand Court the power to set aside fiduciary decisions made by mistake, effectively codifying the </w:t>
      </w:r>
      <w:r w:rsidR="007509CF">
        <w:rPr>
          <w:rFonts w:ascii="Times New Roman" w:hAnsi="Times New Roman"/>
          <w:sz w:val="20"/>
          <w:szCs w:val="20"/>
        </w:rPr>
        <w:t>“</w:t>
      </w:r>
      <w:r w:rsidRPr="007509CF">
        <w:rPr>
          <w:rFonts w:ascii="Times New Roman" w:hAnsi="Times New Roman"/>
          <w:i/>
          <w:iCs/>
          <w:sz w:val="20"/>
          <w:szCs w:val="20"/>
        </w:rPr>
        <w:t>Hastings-Bass Rule</w:t>
      </w:r>
      <w:r w:rsidR="007509CF">
        <w:rPr>
          <w:rFonts w:ascii="Times New Roman" w:hAnsi="Times New Roman"/>
          <w:sz w:val="20"/>
          <w:szCs w:val="20"/>
        </w:rPr>
        <w:t>”</w:t>
      </w:r>
      <w:r w:rsidRPr="007509CF">
        <w:rPr>
          <w:rFonts w:ascii="Times New Roman" w:hAnsi="Times New Roman"/>
          <w:sz w:val="20"/>
          <w:szCs w:val="20"/>
        </w:rPr>
        <w:t xml:space="preserve"> (regarding the validity of a trustee exercising its discretion when making decisions) as it stood prior to the UK Supreme Court</w:t>
      </w:r>
      <w:r w:rsidR="007509CF">
        <w:rPr>
          <w:rFonts w:ascii="Times New Roman" w:hAnsi="Times New Roman"/>
          <w:sz w:val="20"/>
          <w:szCs w:val="20"/>
        </w:rPr>
        <w:t>’</w:t>
      </w:r>
      <w:r w:rsidRPr="007509CF">
        <w:rPr>
          <w:rFonts w:ascii="Times New Roman" w:hAnsi="Times New Roman"/>
          <w:sz w:val="20"/>
          <w:szCs w:val="20"/>
        </w:rPr>
        <w:t xml:space="preserve">s decision in </w:t>
      </w:r>
      <w:r w:rsidRPr="007509CF">
        <w:rPr>
          <w:rFonts w:ascii="Times New Roman" w:hAnsi="Times New Roman"/>
          <w:i/>
          <w:iCs/>
          <w:sz w:val="20"/>
          <w:szCs w:val="20"/>
        </w:rPr>
        <w:t>Futter/Pitt v HMRC</w:t>
      </w:r>
      <w:r w:rsidRPr="007509CF">
        <w:rPr>
          <w:rFonts w:ascii="Times New Roman" w:hAnsi="Times New Roman"/>
          <w:sz w:val="20"/>
          <w:szCs w:val="20"/>
        </w:rPr>
        <w:t xml:space="preserve"> [2013] UKSC 26.  There is therefore no requirement to prove that the trustee was in breach of trust when they made the decision. </w:t>
      </w:r>
    </w:p>
    <w:p w:rsidR="00342AC6" w:rsidRPr="007509CF" w:rsidRDefault="00342AC6" w:rsidP="00342AC6">
      <w:pPr>
        <w:suppressAutoHyphens/>
        <w:autoSpaceDE w:val="0"/>
        <w:autoSpaceDN w:val="0"/>
        <w:adjustRightInd w:val="0"/>
        <w:spacing w:before="57" w:line="288" w:lineRule="auto"/>
        <w:textAlignment w:val="center"/>
        <w:rPr>
          <w:rFonts w:ascii="Times New Roman" w:hAnsi="Times New Roman"/>
          <w:sz w:val="20"/>
          <w:szCs w:val="20"/>
        </w:rPr>
      </w:pPr>
      <w:r w:rsidRPr="007509CF">
        <w:rPr>
          <w:rFonts w:ascii="Times New Roman" w:hAnsi="Times New Roman"/>
          <w:sz w:val="20"/>
          <w:szCs w:val="20"/>
        </w:rPr>
        <w:t>Another amendment also provides the Grand Court with the ability to sanction settlements of trusts disputes, as long as doing so would not be detrimental to the beneficiaries (as opposed to previously needing to be for their benefit).</w:t>
      </w:r>
    </w:p>
    <w:p w:rsidR="00342AC6" w:rsidRPr="007509CF" w:rsidRDefault="00342AC6" w:rsidP="00342AC6">
      <w:pPr>
        <w:suppressAutoHyphens/>
        <w:autoSpaceDE w:val="0"/>
        <w:autoSpaceDN w:val="0"/>
        <w:adjustRightInd w:val="0"/>
        <w:spacing w:before="227" w:after="57" w:line="288" w:lineRule="auto"/>
        <w:ind w:left="170"/>
        <w:jc w:val="left"/>
        <w:textAlignment w:val="center"/>
        <w:rPr>
          <w:rFonts w:ascii="Times New Roman" w:hAnsi="Times New Roman"/>
          <w:b/>
          <w:bCs/>
          <w:sz w:val="20"/>
          <w:szCs w:val="20"/>
        </w:rPr>
      </w:pPr>
      <w:r w:rsidRPr="007509CF">
        <w:rPr>
          <w:rFonts w:ascii="Times New Roman" w:hAnsi="Times New Roman"/>
          <w:b/>
          <w:bCs/>
          <w:sz w:val="20"/>
          <w:szCs w:val="20"/>
        </w:rPr>
        <w:t>International arbitration</w:t>
      </w:r>
    </w:p>
    <w:p w:rsidR="00342AC6" w:rsidRPr="007509CF" w:rsidRDefault="00342AC6" w:rsidP="00342AC6">
      <w:pPr>
        <w:suppressAutoHyphens/>
        <w:autoSpaceDE w:val="0"/>
        <w:autoSpaceDN w:val="0"/>
        <w:adjustRightInd w:val="0"/>
        <w:spacing w:before="57" w:line="288" w:lineRule="auto"/>
        <w:textAlignment w:val="center"/>
        <w:rPr>
          <w:rFonts w:ascii="Times New Roman" w:hAnsi="Times New Roman"/>
          <w:sz w:val="20"/>
          <w:szCs w:val="20"/>
        </w:rPr>
      </w:pPr>
      <w:r w:rsidRPr="007509CF">
        <w:rPr>
          <w:rFonts w:ascii="Times New Roman" w:hAnsi="Times New Roman"/>
          <w:sz w:val="20"/>
          <w:szCs w:val="20"/>
        </w:rPr>
        <w:t xml:space="preserve">The principal benefits of arbitration, such as confidentiality and potentially more limited discovery, are making arbitration more popular with the international business communities.  Many parties selecting arbitration in the Cayman Islands for the resolution of international commercial disputes will expressly provide in their agreements for the arbitration to be governed by the rules of a particular organisation or arbitral body.  A model </w:t>
      </w:r>
      <w:r w:rsidRPr="007509CF">
        <w:rPr>
          <w:rFonts w:ascii="Times New Roman" w:hAnsi="Times New Roman"/>
          <w:i/>
          <w:iCs/>
          <w:sz w:val="20"/>
          <w:szCs w:val="20"/>
        </w:rPr>
        <w:t>ad hoc</w:t>
      </w:r>
      <w:r w:rsidRPr="007509CF">
        <w:rPr>
          <w:rFonts w:ascii="Times New Roman" w:hAnsi="Times New Roman"/>
          <w:sz w:val="20"/>
          <w:szCs w:val="20"/>
        </w:rPr>
        <w:t xml:space="preserve"> arbitration clause can be found in the </w:t>
      </w:r>
      <w:r w:rsidRPr="007509CF">
        <w:rPr>
          <w:rFonts w:ascii="Times New Roman" w:hAnsi="Times New Roman"/>
          <w:i/>
          <w:iCs/>
          <w:sz w:val="20"/>
          <w:szCs w:val="20"/>
        </w:rPr>
        <w:t>Arbitration Law 2012</w:t>
      </w:r>
      <w:r w:rsidRPr="007509CF">
        <w:rPr>
          <w:rFonts w:ascii="Times New Roman" w:hAnsi="Times New Roman"/>
          <w:sz w:val="20"/>
          <w:szCs w:val="20"/>
        </w:rPr>
        <w:t xml:space="preserve">.  This replaced previous legislation </w:t>
      </w:r>
      <w:r w:rsidR="00F868FA">
        <w:rPr>
          <w:rFonts w:ascii="Times New Roman" w:hAnsi="Times New Roman"/>
          <w:sz w:val="20"/>
          <w:szCs w:val="20"/>
        </w:rPr>
        <w:t>that</w:t>
      </w:r>
      <w:r w:rsidR="00F868FA" w:rsidRPr="007509CF">
        <w:rPr>
          <w:rFonts w:ascii="Times New Roman" w:hAnsi="Times New Roman"/>
          <w:sz w:val="20"/>
          <w:szCs w:val="20"/>
        </w:rPr>
        <w:t xml:space="preserve"> </w:t>
      </w:r>
      <w:r w:rsidRPr="007509CF">
        <w:rPr>
          <w:rFonts w:ascii="Times New Roman" w:hAnsi="Times New Roman"/>
          <w:sz w:val="20"/>
          <w:szCs w:val="20"/>
        </w:rPr>
        <w:t xml:space="preserve">had been based on the </w:t>
      </w:r>
      <w:r w:rsidRPr="002013FE">
        <w:rPr>
          <w:rFonts w:ascii="Times New Roman" w:hAnsi="Times New Roman"/>
          <w:i/>
          <w:iCs/>
          <w:sz w:val="20"/>
          <w:szCs w:val="20"/>
        </w:rPr>
        <w:t>English Arbitration Act</w:t>
      </w:r>
      <w:r w:rsidRPr="007509CF">
        <w:rPr>
          <w:rFonts w:ascii="Times New Roman" w:hAnsi="Times New Roman"/>
          <w:sz w:val="20"/>
          <w:szCs w:val="20"/>
        </w:rPr>
        <w:t xml:space="preserve"> of 1950.</w:t>
      </w:r>
    </w:p>
    <w:p w:rsidR="00342AC6" w:rsidRPr="007509CF" w:rsidRDefault="00342AC6" w:rsidP="00342AC6">
      <w:pPr>
        <w:suppressAutoHyphens/>
        <w:autoSpaceDE w:val="0"/>
        <w:autoSpaceDN w:val="0"/>
        <w:adjustRightInd w:val="0"/>
        <w:spacing w:before="57" w:line="288" w:lineRule="auto"/>
        <w:textAlignment w:val="center"/>
        <w:rPr>
          <w:rFonts w:ascii="Times New Roman" w:hAnsi="Times New Roman"/>
          <w:sz w:val="20"/>
          <w:szCs w:val="20"/>
        </w:rPr>
      </w:pPr>
      <w:r w:rsidRPr="007509CF">
        <w:rPr>
          <w:rFonts w:ascii="Times New Roman" w:hAnsi="Times New Roman"/>
          <w:sz w:val="20"/>
          <w:szCs w:val="20"/>
        </w:rPr>
        <w:t xml:space="preserve">Under the </w:t>
      </w:r>
      <w:r w:rsidR="00DB75D4" w:rsidRPr="007509CF">
        <w:rPr>
          <w:rFonts w:ascii="Times New Roman" w:hAnsi="Times New Roman"/>
          <w:sz w:val="20"/>
          <w:szCs w:val="20"/>
        </w:rPr>
        <w:t>2012</w:t>
      </w:r>
      <w:r w:rsidRPr="007509CF">
        <w:rPr>
          <w:rFonts w:ascii="Times New Roman" w:hAnsi="Times New Roman"/>
          <w:sz w:val="20"/>
          <w:szCs w:val="20"/>
        </w:rPr>
        <w:t xml:space="preserve"> law, arbitration agreements may be in the form of either an arbitration clause in a contract, or a separate agreement.  Whichever form it takes, with a couple of specific exceptions, an arbitration agreement must be in writing, and it must be contained in a document signed by the parties or in an exchange of letters, facsimile, telegrams, electronic or other communications </w:t>
      </w:r>
      <w:r w:rsidR="00F868FA">
        <w:rPr>
          <w:rFonts w:ascii="Times New Roman" w:hAnsi="Times New Roman"/>
          <w:sz w:val="20"/>
          <w:szCs w:val="20"/>
        </w:rPr>
        <w:t>that</w:t>
      </w:r>
      <w:r w:rsidR="00F868FA" w:rsidRPr="007509CF">
        <w:rPr>
          <w:rFonts w:ascii="Times New Roman" w:hAnsi="Times New Roman"/>
          <w:sz w:val="20"/>
          <w:szCs w:val="20"/>
        </w:rPr>
        <w:t xml:space="preserve"> </w:t>
      </w:r>
      <w:r w:rsidRPr="007509CF">
        <w:rPr>
          <w:rFonts w:ascii="Times New Roman" w:hAnsi="Times New Roman"/>
          <w:sz w:val="20"/>
          <w:szCs w:val="20"/>
        </w:rPr>
        <w:t>provide a written record of the agreement.</w:t>
      </w:r>
    </w:p>
    <w:p w:rsidR="00342AC6" w:rsidRPr="007509CF" w:rsidRDefault="00342AC6" w:rsidP="00342AC6">
      <w:pPr>
        <w:suppressAutoHyphens/>
        <w:autoSpaceDE w:val="0"/>
        <w:autoSpaceDN w:val="0"/>
        <w:adjustRightInd w:val="0"/>
        <w:spacing w:before="57" w:line="288" w:lineRule="auto"/>
        <w:textAlignment w:val="center"/>
        <w:rPr>
          <w:rFonts w:ascii="Times New Roman" w:hAnsi="Times New Roman"/>
          <w:spacing w:val="-1"/>
          <w:sz w:val="20"/>
          <w:szCs w:val="20"/>
        </w:rPr>
      </w:pPr>
      <w:r w:rsidRPr="007509CF">
        <w:rPr>
          <w:rFonts w:ascii="Times New Roman" w:hAnsi="Times New Roman"/>
          <w:spacing w:val="-1"/>
          <w:sz w:val="20"/>
          <w:szCs w:val="20"/>
        </w:rPr>
        <w:t>Subject to certain mandatory rules, the parties may agree to adapt the arbitral process to suit their needs.  In particular, the parties may agree on: the number and method of appointment of the arbitrators; their specific areas of expertise and qualifications; the language of the arbitration; whether the arbitration is to be conducted under institutional rules, and if so, which arbitration boards to adopt; and whether to nominate an appointing authority to choose the members of the arbitral tribunal or to retain the power to choose the tribunal themselves.</w:t>
      </w:r>
    </w:p>
    <w:p w:rsidR="00342AC6" w:rsidRPr="007509CF" w:rsidRDefault="00342AC6" w:rsidP="00342AC6">
      <w:pPr>
        <w:suppressAutoHyphens/>
        <w:autoSpaceDE w:val="0"/>
        <w:autoSpaceDN w:val="0"/>
        <w:adjustRightInd w:val="0"/>
        <w:spacing w:before="57" w:line="288" w:lineRule="auto"/>
        <w:textAlignment w:val="center"/>
        <w:rPr>
          <w:rFonts w:ascii="Times New Roman" w:hAnsi="Times New Roman"/>
          <w:spacing w:val="1"/>
          <w:sz w:val="20"/>
          <w:szCs w:val="20"/>
        </w:rPr>
      </w:pPr>
      <w:r w:rsidRPr="007509CF">
        <w:rPr>
          <w:rFonts w:ascii="Times New Roman" w:hAnsi="Times New Roman"/>
          <w:spacing w:val="1"/>
          <w:sz w:val="20"/>
          <w:szCs w:val="20"/>
        </w:rPr>
        <w:t xml:space="preserve">The enforcement of arbitration agreements, and of resulting arbitral awards made in countries that are parties to the 1958 New York Convention on the Recognition and Enforcement of Foreign Arbitral Awards (the </w:t>
      </w:r>
      <w:r w:rsidR="007509CF">
        <w:rPr>
          <w:rFonts w:ascii="Times New Roman" w:hAnsi="Times New Roman"/>
          <w:spacing w:val="1"/>
          <w:sz w:val="20"/>
          <w:szCs w:val="20"/>
        </w:rPr>
        <w:t>“</w:t>
      </w:r>
      <w:r w:rsidRPr="007509CF">
        <w:rPr>
          <w:rFonts w:ascii="Times New Roman" w:hAnsi="Times New Roman"/>
          <w:spacing w:val="1"/>
          <w:sz w:val="20"/>
          <w:szCs w:val="20"/>
        </w:rPr>
        <w:t>NY Convention</w:t>
      </w:r>
      <w:r w:rsidR="007509CF">
        <w:rPr>
          <w:rFonts w:ascii="Times New Roman" w:hAnsi="Times New Roman"/>
          <w:spacing w:val="1"/>
          <w:sz w:val="20"/>
          <w:szCs w:val="20"/>
        </w:rPr>
        <w:t>”</w:t>
      </w:r>
      <w:r w:rsidRPr="007509CF">
        <w:rPr>
          <w:rFonts w:ascii="Times New Roman" w:hAnsi="Times New Roman"/>
          <w:spacing w:val="1"/>
          <w:sz w:val="20"/>
          <w:szCs w:val="20"/>
        </w:rPr>
        <w:t xml:space="preserve">), is governed by the </w:t>
      </w:r>
      <w:r w:rsidRPr="007509CF">
        <w:rPr>
          <w:rFonts w:ascii="Times New Roman" w:hAnsi="Times New Roman"/>
          <w:i/>
          <w:iCs/>
          <w:spacing w:val="1"/>
          <w:sz w:val="20"/>
          <w:szCs w:val="20"/>
        </w:rPr>
        <w:t>Foreign Arbitral Awards Enforcement Law</w:t>
      </w:r>
      <w:r w:rsidR="004B169C" w:rsidRPr="004B169C">
        <w:rPr>
          <w:rFonts w:ascii="Times New Roman" w:hAnsi="Times New Roman"/>
          <w:spacing w:val="1"/>
          <w:sz w:val="20"/>
          <w:szCs w:val="20"/>
        </w:rPr>
        <w:t xml:space="preserve"> </w:t>
      </w:r>
      <w:r w:rsidR="004B169C" w:rsidRPr="007509CF">
        <w:rPr>
          <w:rFonts w:ascii="Times New Roman" w:hAnsi="Times New Roman"/>
          <w:spacing w:val="1"/>
          <w:sz w:val="20"/>
          <w:szCs w:val="20"/>
        </w:rPr>
        <w:t xml:space="preserve">(the </w:t>
      </w:r>
      <w:r w:rsidR="004B169C">
        <w:rPr>
          <w:rFonts w:ascii="Times New Roman" w:hAnsi="Times New Roman"/>
          <w:spacing w:val="1"/>
          <w:sz w:val="20"/>
          <w:szCs w:val="20"/>
        </w:rPr>
        <w:t>“</w:t>
      </w:r>
      <w:r w:rsidR="004B169C" w:rsidRPr="007509CF">
        <w:rPr>
          <w:rFonts w:ascii="Times New Roman" w:hAnsi="Times New Roman"/>
          <w:spacing w:val="1"/>
          <w:sz w:val="20"/>
          <w:szCs w:val="20"/>
        </w:rPr>
        <w:t>FAAEL</w:t>
      </w:r>
      <w:r w:rsidR="004B169C">
        <w:rPr>
          <w:rFonts w:ascii="Times New Roman" w:hAnsi="Times New Roman"/>
          <w:spacing w:val="1"/>
          <w:sz w:val="20"/>
          <w:szCs w:val="20"/>
        </w:rPr>
        <w:t>”</w:t>
      </w:r>
      <w:r w:rsidR="004B169C" w:rsidRPr="007509CF">
        <w:rPr>
          <w:rFonts w:ascii="Times New Roman" w:hAnsi="Times New Roman"/>
          <w:spacing w:val="1"/>
          <w:sz w:val="20"/>
          <w:szCs w:val="20"/>
        </w:rPr>
        <w:t>)</w:t>
      </w:r>
      <w:r w:rsidRPr="007509CF">
        <w:rPr>
          <w:rFonts w:ascii="Times New Roman" w:hAnsi="Times New Roman"/>
          <w:spacing w:val="1"/>
          <w:sz w:val="20"/>
          <w:szCs w:val="20"/>
        </w:rPr>
        <w:t>, which was originally enacted in 1975 and later revised in 1977.  The FAAEL incorporates the provisions of the NY Convention into Cayman Islands law.</w:t>
      </w:r>
    </w:p>
    <w:p w:rsidR="00342AC6" w:rsidRPr="007509CF" w:rsidRDefault="00342AC6" w:rsidP="00342AC6">
      <w:pPr>
        <w:suppressAutoHyphens/>
        <w:autoSpaceDE w:val="0"/>
        <w:autoSpaceDN w:val="0"/>
        <w:adjustRightInd w:val="0"/>
        <w:spacing w:before="57" w:line="288" w:lineRule="auto"/>
        <w:textAlignment w:val="center"/>
        <w:rPr>
          <w:rFonts w:ascii="Times New Roman" w:hAnsi="Times New Roman"/>
          <w:sz w:val="20"/>
          <w:szCs w:val="20"/>
        </w:rPr>
      </w:pPr>
      <w:r w:rsidRPr="007509CF">
        <w:rPr>
          <w:rFonts w:ascii="Times New Roman" w:hAnsi="Times New Roman"/>
          <w:sz w:val="20"/>
          <w:szCs w:val="20"/>
        </w:rPr>
        <w:t xml:space="preserve">A NY Convention award will be enforced as if it were a judgment of the courts of the Cayman Islands, unless one of the limited circumstances for an award to be challenged under the NY Convention can be established.  The Cayman Islands courts can be expected to adopt a robust approach to enforcement of NY Convention awards.  In </w:t>
      </w:r>
      <w:r w:rsidRPr="007509CF">
        <w:rPr>
          <w:rFonts w:ascii="Times New Roman" w:hAnsi="Times New Roman"/>
          <w:i/>
          <w:iCs/>
          <w:sz w:val="20"/>
          <w:szCs w:val="20"/>
        </w:rPr>
        <w:t>Globe</w:t>
      </w:r>
      <w:r w:rsidR="004B169C">
        <w:rPr>
          <w:rFonts w:ascii="Times New Roman" w:hAnsi="Times New Roman"/>
          <w:i/>
          <w:iCs/>
          <w:sz w:val="20"/>
          <w:szCs w:val="20"/>
        </w:rPr>
        <w:t>O</w:t>
      </w:r>
      <w:r w:rsidRPr="007509CF">
        <w:rPr>
          <w:rFonts w:ascii="Times New Roman" w:hAnsi="Times New Roman"/>
          <w:i/>
          <w:iCs/>
          <w:sz w:val="20"/>
          <w:szCs w:val="20"/>
        </w:rPr>
        <w:t>p Financial Services LLC and others v Titan Capital Group and others</w:t>
      </w:r>
      <w:r w:rsidRPr="007509CF">
        <w:rPr>
          <w:rFonts w:ascii="Times New Roman" w:hAnsi="Times New Roman"/>
          <w:sz w:val="20"/>
          <w:szCs w:val="20"/>
        </w:rPr>
        <w:t xml:space="preserve"> (Unreported, 23 April 2014</w:t>
      </w:r>
      <w:r w:rsidR="000C64DE">
        <w:rPr>
          <w:rFonts w:ascii="Times New Roman" w:hAnsi="Times New Roman"/>
          <w:sz w:val="20"/>
          <w:szCs w:val="20"/>
        </w:rPr>
        <w:t>)</w:t>
      </w:r>
      <w:r w:rsidRPr="007509CF">
        <w:rPr>
          <w:rFonts w:ascii="Times New Roman" w:hAnsi="Times New Roman"/>
          <w:sz w:val="20"/>
          <w:szCs w:val="20"/>
        </w:rPr>
        <w:t>, the Chief Justice of the Cayman Islands summarily rejected allegations of impropriety and required the enforcement of a NY Convention award from the United States.</w:t>
      </w:r>
    </w:p>
    <w:p w:rsidR="00342AC6" w:rsidRPr="007509CF" w:rsidRDefault="00342AC6" w:rsidP="00342AC6">
      <w:pPr>
        <w:suppressAutoHyphens/>
        <w:autoSpaceDE w:val="0"/>
        <w:autoSpaceDN w:val="0"/>
        <w:adjustRightInd w:val="0"/>
        <w:spacing w:before="57" w:line="288" w:lineRule="auto"/>
        <w:textAlignment w:val="center"/>
        <w:rPr>
          <w:rFonts w:ascii="Times New Roman" w:hAnsi="Times New Roman"/>
          <w:spacing w:val="-1"/>
          <w:sz w:val="20"/>
          <w:szCs w:val="20"/>
        </w:rPr>
      </w:pPr>
      <w:r w:rsidRPr="007509CF">
        <w:rPr>
          <w:rFonts w:ascii="Times New Roman" w:hAnsi="Times New Roman"/>
          <w:spacing w:val="-1"/>
          <w:sz w:val="20"/>
          <w:szCs w:val="20"/>
        </w:rPr>
        <w:t>In conclusion, the Cayman Islands courts are respectful of, and will readily enforce, arbitration awards from qualifying convention</w:t>
      </w:r>
      <w:r w:rsidR="004B169C">
        <w:rPr>
          <w:rFonts w:ascii="Times New Roman" w:hAnsi="Times New Roman"/>
          <w:spacing w:val="-1"/>
          <w:sz w:val="20"/>
          <w:szCs w:val="20"/>
        </w:rPr>
        <w:t>s</w:t>
      </w:r>
      <w:r w:rsidRPr="007509CF">
        <w:rPr>
          <w:rFonts w:ascii="Times New Roman" w:hAnsi="Times New Roman"/>
          <w:spacing w:val="-1"/>
          <w:sz w:val="20"/>
          <w:szCs w:val="20"/>
        </w:rPr>
        <w:t xml:space="preserve"> and other countries.  Where the parties have agreed that their disputes should be arbitrated, not litigated, then the Cayman Islands courts can be expected to stay proceedings before the court to enforce the arbitration agreement.  A 2020 decision of the Court of Appeal, however, shows that that rule may not always extend to </w:t>
      </w:r>
      <w:r w:rsidR="00DB75D4" w:rsidRPr="007509CF">
        <w:rPr>
          <w:rFonts w:ascii="Times New Roman" w:hAnsi="Times New Roman"/>
          <w:spacing w:val="-1"/>
          <w:sz w:val="20"/>
          <w:szCs w:val="20"/>
        </w:rPr>
        <w:t>shareholder</w:t>
      </w:r>
      <w:r w:rsidR="004B169C">
        <w:rPr>
          <w:rFonts w:ascii="Times New Roman" w:hAnsi="Times New Roman"/>
          <w:spacing w:val="-1"/>
          <w:sz w:val="20"/>
          <w:szCs w:val="20"/>
        </w:rPr>
        <w:t>-</w:t>
      </w:r>
      <w:r w:rsidR="00DB75D4" w:rsidRPr="007509CF">
        <w:rPr>
          <w:rFonts w:ascii="Times New Roman" w:hAnsi="Times New Roman"/>
          <w:spacing w:val="-1"/>
          <w:sz w:val="20"/>
          <w:szCs w:val="20"/>
        </w:rPr>
        <w:t>type disputes</w:t>
      </w:r>
      <w:r w:rsidR="004B169C">
        <w:rPr>
          <w:rFonts w:ascii="Times New Roman" w:hAnsi="Times New Roman"/>
          <w:spacing w:val="-1"/>
          <w:sz w:val="20"/>
          <w:szCs w:val="20"/>
        </w:rPr>
        <w:t>,</w:t>
      </w:r>
      <w:r w:rsidR="00DB75D4" w:rsidRPr="007509CF">
        <w:rPr>
          <w:rFonts w:ascii="Times New Roman" w:hAnsi="Times New Roman"/>
          <w:spacing w:val="-1"/>
          <w:sz w:val="20"/>
          <w:szCs w:val="20"/>
        </w:rPr>
        <w:t xml:space="preserve"> which in the Cayman Islands commonly take the form of </w:t>
      </w:r>
      <w:r w:rsidRPr="007509CF">
        <w:rPr>
          <w:rFonts w:ascii="Times New Roman" w:hAnsi="Times New Roman"/>
          <w:spacing w:val="-1"/>
          <w:sz w:val="20"/>
          <w:szCs w:val="20"/>
        </w:rPr>
        <w:t xml:space="preserve">winding-up proceedings based on just and equitable grounds </w:t>
      </w:r>
      <w:r w:rsidR="00DB75D4" w:rsidRPr="007509CF">
        <w:rPr>
          <w:rFonts w:ascii="Times New Roman" w:hAnsi="Times New Roman"/>
          <w:spacing w:val="-1"/>
          <w:sz w:val="20"/>
          <w:szCs w:val="20"/>
        </w:rPr>
        <w:t>(</w:t>
      </w:r>
      <w:r w:rsidRPr="007509CF">
        <w:rPr>
          <w:rFonts w:ascii="Times New Roman" w:hAnsi="Times New Roman"/>
          <w:i/>
          <w:iCs/>
          <w:spacing w:val="-1"/>
          <w:sz w:val="20"/>
          <w:szCs w:val="20"/>
        </w:rPr>
        <w:t xml:space="preserve">Family Mart China Holding Co. Ltd. v Ting Chuan (Cayman Islands) Holding Corporation </w:t>
      </w:r>
      <w:r w:rsidRPr="007509CF">
        <w:rPr>
          <w:rFonts w:ascii="Times New Roman" w:hAnsi="Times New Roman"/>
          <w:spacing w:val="-1"/>
          <w:sz w:val="20"/>
          <w:szCs w:val="20"/>
        </w:rPr>
        <w:t>CICA No</w:t>
      </w:r>
      <w:r w:rsidR="00145EF2">
        <w:rPr>
          <w:rFonts w:ascii="Times New Roman" w:hAnsi="Times New Roman"/>
          <w:spacing w:val="-1"/>
          <w:sz w:val="20"/>
          <w:szCs w:val="20"/>
        </w:rPr>
        <w:t>s</w:t>
      </w:r>
      <w:r w:rsidRPr="007509CF">
        <w:rPr>
          <w:rFonts w:ascii="Times New Roman" w:hAnsi="Times New Roman"/>
          <w:spacing w:val="-1"/>
          <w:sz w:val="20"/>
          <w:szCs w:val="20"/>
        </w:rPr>
        <w:t xml:space="preserve"> 7 &amp; 8 of 2019</w:t>
      </w:r>
      <w:r w:rsidR="00DB75D4" w:rsidRPr="007509CF">
        <w:rPr>
          <w:rFonts w:ascii="Times New Roman" w:hAnsi="Times New Roman"/>
          <w:spacing w:val="-1"/>
          <w:sz w:val="20"/>
          <w:szCs w:val="20"/>
        </w:rPr>
        <w:t>)</w:t>
      </w:r>
      <w:r w:rsidRPr="007509CF">
        <w:rPr>
          <w:rFonts w:ascii="Times New Roman" w:hAnsi="Times New Roman"/>
          <w:spacing w:val="-1"/>
          <w:sz w:val="20"/>
          <w:szCs w:val="20"/>
        </w:rPr>
        <w:t>.</w:t>
      </w:r>
    </w:p>
    <w:p w:rsidR="00342AC6" w:rsidRPr="007509CF" w:rsidRDefault="00342AC6" w:rsidP="00342AC6">
      <w:pPr>
        <w:suppressAutoHyphens/>
        <w:autoSpaceDE w:val="0"/>
        <w:autoSpaceDN w:val="0"/>
        <w:adjustRightInd w:val="0"/>
        <w:spacing w:before="227" w:after="57" w:line="288" w:lineRule="auto"/>
        <w:ind w:left="170"/>
        <w:jc w:val="left"/>
        <w:textAlignment w:val="center"/>
        <w:rPr>
          <w:rFonts w:ascii="Times New Roman" w:hAnsi="Times New Roman"/>
          <w:b/>
          <w:bCs/>
          <w:sz w:val="20"/>
          <w:szCs w:val="20"/>
        </w:rPr>
      </w:pPr>
      <w:r w:rsidRPr="007509CF">
        <w:rPr>
          <w:rFonts w:ascii="Times New Roman" w:hAnsi="Times New Roman"/>
          <w:b/>
          <w:bCs/>
          <w:sz w:val="20"/>
          <w:szCs w:val="20"/>
        </w:rPr>
        <w:t>Mediation and ADR</w:t>
      </w:r>
    </w:p>
    <w:p w:rsidR="00342AC6" w:rsidRPr="007509CF" w:rsidRDefault="00342AC6" w:rsidP="00342AC6">
      <w:pPr>
        <w:suppressAutoHyphens/>
        <w:autoSpaceDE w:val="0"/>
        <w:autoSpaceDN w:val="0"/>
        <w:adjustRightInd w:val="0"/>
        <w:spacing w:before="57" w:line="288" w:lineRule="auto"/>
        <w:textAlignment w:val="center"/>
        <w:rPr>
          <w:rFonts w:ascii="Times New Roman" w:hAnsi="Times New Roman"/>
          <w:sz w:val="20"/>
          <w:szCs w:val="20"/>
        </w:rPr>
      </w:pPr>
      <w:r w:rsidRPr="007509CF">
        <w:rPr>
          <w:rFonts w:ascii="Times New Roman" w:hAnsi="Times New Roman"/>
          <w:sz w:val="20"/>
          <w:szCs w:val="20"/>
        </w:rPr>
        <w:t xml:space="preserve">The Cayman Islands courts embrace but </w:t>
      </w:r>
      <w:r w:rsidR="00E21B41" w:rsidRPr="007509CF">
        <w:rPr>
          <w:rFonts w:ascii="Times New Roman" w:hAnsi="Times New Roman"/>
          <w:sz w:val="20"/>
          <w:szCs w:val="20"/>
        </w:rPr>
        <w:t xml:space="preserve">(outside of family proceedings) </w:t>
      </w:r>
      <w:r w:rsidRPr="007509CF">
        <w:rPr>
          <w:rFonts w:ascii="Times New Roman" w:hAnsi="Times New Roman"/>
          <w:sz w:val="20"/>
          <w:szCs w:val="20"/>
        </w:rPr>
        <w:t>do not require the resolution of disputes by alternative methods of dispute resolution (</w:t>
      </w:r>
      <w:r w:rsidR="007509CF">
        <w:rPr>
          <w:rFonts w:ascii="Times New Roman" w:hAnsi="Times New Roman"/>
          <w:sz w:val="20"/>
          <w:szCs w:val="20"/>
        </w:rPr>
        <w:t>“</w:t>
      </w:r>
      <w:r w:rsidRPr="007509CF">
        <w:rPr>
          <w:rFonts w:ascii="Times New Roman" w:hAnsi="Times New Roman"/>
          <w:sz w:val="20"/>
          <w:szCs w:val="20"/>
        </w:rPr>
        <w:t>ADR</w:t>
      </w:r>
      <w:r w:rsidR="007509CF">
        <w:rPr>
          <w:rFonts w:ascii="Times New Roman" w:hAnsi="Times New Roman"/>
          <w:sz w:val="20"/>
          <w:szCs w:val="20"/>
        </w:rPr>
        <w:t>”</w:t>
      </w:r>
      <w:r w:rsidRPr="007509CF">
        <w:rPr>
          <w:rFonts w:ascii="Times New Roman" w:hAnsi="Times New Roman"/>
          <w:sz w:val="20"/>
          <w:szCs w:val="20"/>
        </w:rPr>
        <w:t>).  The advantages of ADR include confidentiality, comparatively limited discovery and disclosure requirements, reduced costs, time-saving, and the preservation of business relations.  All conventional forms of ADR are available in the Cayman Islands, and practitioners are familiar with them.</w:t>
      </w:r>
    </w:p>
    <w:p w:rsidR="00342AC6" w:rsidRPr="007509CF" w:rsidRDefault="00342AC6" w:rsidP="00342AC6">
      <w:pPr>
        <w:suppressAutoHyphens/>
        <w:autoSpaceDE w:val="0"/>
        <w:autoSpaceDN w:val="0"/>
        <w:adjustRightInd w:val="0"/>
        <w:spacing w:before="57" w:line="288" w:lineRule="auto"/>
        <w:textAlignment w:val="center"/>
        <w:rPr>
          <w:rFonts w:ascii="Times New Roman" w:hAnsi="Times New Roman"/>
          <w:sz w:val="20"/>
          <w:szCs w:val="20"/>
        </w:rPr>
      </w:pPr>
    </w:p>
    <w:p w:rsidR="00342AC6" w:rsidRPr="007509CF" w:rsidRDefault="00342AC6" w:rsidP="004B169C">
      <w:pPr>
        <w:suppressAutoHyphens/>
        <w:autoSpaceDE w:val="0"/>
        <w:autoSpaceDN w:val="0"/>
        <w:adjustRightInd w:val="0"/>
        <w:spacing w:before="57" w:line="288" w:lineRule="auto"/>
        <w:jc w:val="center"/>
        <w:textAlignment w:val="center"/>
        <w:rPr>
          <w:rFonts w:ascii="Times New Roman" w:hAnsi="Times New Roman"/>
          <w:sz w:val="20"/>
          <w:szCs w:val="20"/>
        </w:rPr>
      </w:pPr>
      <w:r w:rsidRPr="007509CF">
        <w:rPr>
          <w:rFonts w:ascii="Times New Roman" w:hAnsi="Times New Roman"/>
          <w:sz w:val="20"/>
          <w:szCs w:val="20"/>
        </w:rPr>
        <w:t>* * *</w:t>
      </w:r>
    </w:p>
    <w:p w:rsidR="00342AC6" w:rsidRPr="007509CF" w:rsidRDefault="00342AC6" w:rsidP="00342AC6">
      <w:pPr>
        <w:suppressAutoHyphens/>
        <w:autoSpaceDE w:val="0"/>
        <w:autoSpaceDN w:val="0"/>
        <w:adjustRightInd w:val="0"/>
        <w:spacing w:before="227" w:after="57" w:line="288" w:lineRule="auto"/>
        <w:ind w:left="170"/>
        <w:jc w:val="left"/>
        <w:textAlignment w:val="center"/>
        <w:rPr>
          <w:rFonts w:ascii="Times New Roman" w:hAnsi="Times New Roman"/>
          <w:b/>
          <w:bCs/>
          <w:sz w:val="20"/>
          <w:szCs w:val="20"/>
        </w:rPr>
      </w:pPr>
      <w:r w:rsidRPr="007509CF">
        <w:rPr>
          <w:rFonts w:ascii="Times New Roman" w:hAnsi="Times New Roman"/>
          <w:b/>
          <w:bCs/>
          <w:sz w:val="20"/>
          <w:szCs w:val="20"/>
        </w:rPr>
        <w:t>Acknowledgment</w:t>
      </w:r>
    </w:p>
    <w:p w:rsidR="00342AC6" w:rsidRPr="007509CF" w:rsidRDefault="00342AC6" w:rsidP="00342AC6">
      <w:pPr>
        <w:suppressAutoHyphens/>
        <w:autoSpaceDE w:val="0"/>
        <w:autoSpaceDN w:val="0"/>
        <w:adjustRightInd w:val="0"/>
        <w:spacing w:before="57" w:line="288" w:lineRule="auto"/>
        <w:textAlignment w:val="center"/>
        <w:rPr>
          <w:rFonts w:ascii="Times New Roman" w:hAnsi="Times New Roman"/>
          <w:spacing w:val="1"/>
          <w:sz w:val="20"/>
          <w:szCs w:val="20"/>
        </w:rPr>
      </w:pPr>
      <w:r w:rsidRPr="007509CF">
        <w:rPr>
          <w:rFonts w:ascii="Times New Roman" w:hAnsi="Times New Roman"/>
          <w:spacing w:val="1"/>
          <w:sz w:val="20"/>
          <w:szCs w:val="20"/>
        </w:rPr>
        <w:t>The authors would like to thank Bhavesh Patel for his invaluable assistance in the preparation of this chapter.</w:t>
      </w:r>
    </w:p>
    <w:p w:rsidR="00342AC6" w:rsidRPr="007509CF" w:rsidRDefault="00342AC6" w:rsidP="00342AC6">
      <w:pPr>
        <w:suppressAutoHyphens/>
        <w:autoSpaceDE w:val="0"/>
        <w:autoSpaceDN w:val="0"/>
        <w:adjustRightInd w:val="0"/>
        <w:spacing w:before="57" w:line="288" w:lineRule="auto"/>
        <w:textAlignment w:val="center"/>
        <w:rPr>
          <w:rFonts w:ascii="Times New Roman" w:hAnsi="Times New Roman"/>
          <w:sz w:val="20"/>
          <w:szCs w:val="20"/>
        </w:rPr>
      </w:pPr>
      <w:r w:rsidRPr="007509CF">
        <w:rPr>
          <w:rFonts w:ascii="Times New Roman" w:hAnsi="Times New Roman"/>
          <w:sz w:val="20"/>
          <w:szCs w:val="20"/>
        </w:rPr>
        <w:t>Bhavesh is an experienced commercial litigator specialising in cross-border insolvency matters, commercial litigation, shareholder and company disputes, and contentious trusts and private client work.</w:t>
      </w:r>
    </w:p>
    <w:p w:rsidR="00342AC6" w:rsidRPr="007509CF" w:rsidRDefault="00342AC6" w:rsidP="00342AC6">
      <w:pPr>
        <w:spacing w:line="276" w:lineRule="auto"/>
        <w:outlineLvl w:val="0"/>
        <w:rPr>
          <w:rFonts w:ascii="Times New Roman" w:hAnsi="Times New Roman"/>
          <w:sz w:val="20"/>
          <w:szCs w:val="20"/>
          <w:u w:color="000000"/>
        </w:rPr>
      </w:pPr>
      <w:r w:rsidRPr="007509CF">
        <w:rPr>
          <w:rFonts w:ascii="Times New Roman" w:hAnsi="Times New Roman"/>
          <w:sz w:val="20"/>
          <w:szCs w:val="20"/>
        </w:rPr>
        <w:t xml:space="preserve">Tel: +1 345 623 2411 / Email: </w:t>
      </w:r>
      <w:r w:rsidRPr="007509CF">
        <w:rPr>
          <w:rFonts w:ascii="Times New Roman" w:hAnsi="Times New Roman"/>
          <w:sz w:val="20"/>
          <w:szCs w:val="20"/>
          <w:u w:color="000000"/>
        </w:rPr>
        <w:t>bpatel@tta.lawyer</w:t>
      </w:r>
    </w:p>
    <w:p w:rsidR="00F9746D" w:rsidRPr="007509CF" w:rsidRDefault="00785624" w:rsidP="00342AC6">
      <w:pPr>
        <w:spacing w:line="276" w:lineRule="auto"/>
        <w:outlineLvl w:val="0"/>
        <w:rPr>
          <w:rFonts w:ascii="Times New Roman" w:hAnsi="Times New Roman"/>
          <w:bCs/>
          <w:sz w:val="20"/>
          <w:szCs w:val="20"/>
          <w:u w:val="single"/>
        </w:rPr>
      </w:pPr>
      <w:r w:rsidRPr="007509CF">
        <w:rPr>
          <w:rFonts w:ascii="Times New Roman" w:hAnsi="Times New Roman"/>
          <w:sz w:val="20"/>
          <w:szCs w:val="20"/>
        </w:rPr>
        <w:br w:type="page"/>
      </w:r>
      <w:r w:rsidR="00F9746D" w:rsidRPr="007509CF">
        <w:rPr>
          <w:rFonts w:ascii="Times New Roman" w:hAnsi="Times New Roman"/>
          <w:bCs/>
          <w:sz w:val="20"/>
          <w:szCs w:val="20"/>
          <w:u w:val="single"/>
        </w:rPr>
        <w:t>AUTHOR DETAILS</w:t>
      </w:r>
    </w:p>
    <w:p w:rsidR="00515237" w:rsidRPr="007509CF" w:rsidRDefault="00515237" w:rsidP="00BE671E">
      <w:pPr>
        <w:pStyle w:val="para"/>
        <w:spacing w:before="0" w:after="0" w:line="276" w:lineRule="auto"/>
        <w:rPr>
          <w:bCs/>
          <w:sz w:val="20"/>
        </w:rPr>
      </w:pPr>
    </w:p>
    <w:p w:rsidR="00342AC6" w:rsidRPr="007509CF" w:rsidRDefault="00342AC6" w:rsidP="007509CF">
      <w:pPr>
        <w:pStyle w:val="Bio"/>
        <w:rPr>
          <w:b/>
          <w:bCs/>
          <w:color w:val="auto"/>
        </w:rPr>
      </w:pPr>
      <w:r w:rsidRPr="007509CF">
        <w:rPr>
          <w:b/>
          <w:bCs/>
          <w:color w:val="auto"/>
        </w:rPr>
        <w:t>Ian Huskisson</w:t>
      </w:r>
    </w:p>
    <w:p w:rsidR="00342AC6" w:rsidRPr="007509CF" w:rsidRDefault="00342AC6" w:rsidP="007509CF">
      <w:pPr>
        <w:pStyle w:val="Bio"/>
        <w:rPr>
          <w:color w:val="auto"/>
        </w:rPr>
      </w:pPr>
      <w:r w:rsidRPr="007509CF">
        <w:rPr>
          <w:b/>
          <w:bCs/>
          <w:color w:val="auto"/>
        </w:rPr>
        <w:t>Tel: +1 345 623 2367 / Email: ihuskisson@tta.lawyer</w:t>
      </w:r>
    </w:p>
    <w:p w:rsidR="008C546B" w:rsidRPr="007509CF" w:rsidRDefault="00342AC6" w:rsidP="007509CF">
      <w:pPr>
        <w:pStyle w:val="para"/>
        <w:pBdr>
          <w:bottom w:val="single" w:sz="6" w:space="0" w:color="auto"/>
        </w:pBdr>
        <w:spacing w:before="0" w:after="0" w:line="276" w:lineRule="auto"/>
        <w:rPr>
          <w:sz w:val="20"/>
        </w:rPr>
      </w:pPr>
      <w:r w:rsidRPr="007509CF">
        <w:rPr>
          <w:sz w:val="20"/>
        </w:rPr>
        <w:t>Ian is a commercial litigation partner with 2</w:t>
      </w:r>
      <w:r w:rsidR="00DB75D4" w:rsidRPr="007509CF">
        <w:rPr>
          <w:sz w:val="20"/>
        </w:rPr>
        <w:t>5</w:t>
      </w:r>
      <w:r w:rsidRPr="007509CF">
        <w:rPr>
          <w:sz w:val="20"/>
        </w:rPr>
        <w:t xml:space="preserve"> years</w:t>
      </w:r>
      <w:r w:rsidR="007509CF">
        <w:rPr>
          <w:sz w:val="20"/>
        </w:rPr>
        <w:t>’</w:t>
      </w:r>
      <w:r w:rsidRPr="007509CF">
        <w:rPr>
          <w:sz w:val="20"/>
        </w:rPr>
        <w:t xml:space="preserve"> post-qualification experience gained in London and the Cayman Islands.  His experience covers all aspects of company law, insolvency and other financial services disputes.  Ian qualified as a solicitor advocate when practising in London and has also acted as an expert witness on the law of insolvency.  Ian</w:t>
      </w:r>
      <w:r w:rsidR="00DB75D4" w:rsidRPr="007509CF">
        <w:rPr>
          <w:sz w:val="20"/>
        </w:rPr>
        <w:t xml:space="preserve"> is Cayman Islands editor of the </w:t>
      </w:r>
      <w:r w:rsidR="00DB75D4" w:rsidRPr="00C66791">
        <w:rPr>
          <w:i/>
          <w:iCs/>
          <w:sz w:val="20"/>
        </w:rPr>
        <w:t xml:space="preserve">Journal of International Banking </w:t>
      </w:r>
      <w:r w:rsidR="00C66791">
        <w:rPr>
          <w:i/>
          <w:iCs/>
          <w:sz w:val="20"/>
        </w:rPr>
        <w:t>L</w:t>
      </w:r>
      <w:r w:rsidR="00DB75D4" w:rsidRPr="00C66791">
        <w:rPr>
          <w:i/>
          <w:iCs/>
          <w:sz w:val="20"/>
        </w:rPr>
        <w:t>aw</w:t>
      </w:r>
      <w:r w:rsidRPr="007509CF">
        <w:rPr>
          <w:sz w:val="20"/>
        </w:rPr>
        <w:t>.</w:t>
      </w:r>
    </w:p>
    <w:p w:rsidR="00342AC6" w:rsidRPr="007509CF" w:rsidRDefault="00342AC6" w:rsidP="007509CF">
      <w:pPr>
        <w:pStyle w:val="para"/>
        <w:pBdr>
          <w:bottom w:val="single" w:sz="6" w:space="0" w:color="auto"/>
        </w:pBdr>
        <w:spacing w:before="0" w:after="0" w:line="276" w:lineRule="auto"/>
        <w:rPr>
          <w:bCs/>
          <w:sz w:val="20"/>
        </w:rPr>
      </w:pPr>
    </w:p>
    <w:p w:rsidR="00342AC6" w:rsidRPr="007509CF" w:rsidRDefault="00342AC6" w:rsidP="007509CF">
      <w:pPr>
        <w:pStyle w:val="Bio"/>
        <w:rPr>
          <w:b/>
          <w:bCs/>
          <w:color w:val="auto"/>
        </w:rPr>
      </w:pPr>
      <w:r w:rsidRPr="007509CF">
        <w:rPr>
          <w:b/>
          <w:bCs/>
          <w:color w:val="auto"/>
        </w:rPr>
        <w:t>Anna Peccarino</w:t>
      </w:r>
    </w:p>
    <w:p w:rsidR="00342AC6" w:rsidRPr="007509CF" w:rsidRDefault="00342AC6" w:rsidP="007509CF">
      <w:pPr>
        <w:pStyle w:val="Bio"/>
        <w:rPr>
          <w:color w:val="auto"/>
        </w:rPr>
      </w:pPr>
      <w:r w:rsidRPr="007509CF">
        <w:rPr>
          <w:b/>
          <w:bCs/>
          <w:color w:val="auto"/>
        </w:rPr>
        <w:t>Tel: +1 345 623 2374 / Email: apeccarino@tta.lawyer</w:t>
      </w:r>
    </w:p>
    <w:p w:rsidR="00342AC6" w:rsidRPr="007509CF" w:rsidRDefault="00342AC6" w:rsidP="007509CF">
      <w:pPr>
        <w:pStyle w:val="para"/>
        <w:spacing w:line="276" w:lineRule="auto"/>
        <w:rPr>
          <w:sz w:val="20"/>
        </w:rPr>
      </w:pPr>
      <w:r w:rsidRPr="007509CF">
        <w:rPr>
          <w:sz w:val="20"/>
        </w:rPr>
        <w:t>Anna is an experienced litigation and alternative dispute resolution partner with over 20 years</w:t>
      </w:r>
      <w:r w:rsidR="007509CF">
        <w:rPr>
          <w:sz w:val="20"/>
        </w:rPr>
        <w:t>’</w:t>
      </w:r>
      <w:r w:rsidRPr="007509CF">
        <w:rPr>
          <w:sz w:val="20"/>
        </w:rPr>
        <w:t xml:space="preserve"> experience gained under the relevant legal systems of London, Paris, Rome, the Cayman Islands and Jersey, and the Channel Islands.  Anna has conducted high-profile arbitrations and mediations under the auspices of the major ADR bodies, particularly the ICC, LME, LCIA and AAA, and has experience in drafting ADR agreements in accordance with the rules and regulations of those bodies.  Anna has acted in a number of high-profile matters, notably representing the Italian government, the French, British and Belgian railways and multi-million-dollar listed corporations.  Anna was part of </w:t>
      </w:r>
      <w:r w:rsidRPr="007509CF">
        <w:rPr>
          <w:i/>
          <w:iCs/>
          <w:sz w:val="20"/>
        </w:rPr>
        <w:t>Global Law Experts</w:t>
      </w:r>
      <w:r w:rsidR="007509CF">
        <w:rPr>
          <w:sz w:val="20"/>
        </w:rPr>
        <w:t>’</w:t>
      </w:r>
      <w:r w:rsidRPr="007509CF">
        <w:rPr>
          <w:sz w:val="20"/>
        </w:rPr>
        <w:t xml:space="preserve"> Alternative Dispute Resolution Team of the Year in 2013 and 2014.</w:t>
      </w:r>
    </w:p>
    <w:p w:rsidR="00342AC6" w:rsidRPr="007509CF" w:rsidRDefault="00342AC6" w:rsidP="007509CF">
      <w:pPr>
        <w:pStyle w:val="para"/>
        <w:spacing w:line="276" w:lineRule="auto"/>
        <w:rPr>
          <w:sz w:val="20"/>
        </w:rPr>
      </w:pPr>
    </w:p>
    <w:p w:rsidR="00342AC6" w:rsidRPr="007509CF" w:rsidRDefault="00342AC6" w:rsidP="007509CF">
      <w:pPr>
        <w:pStyle w:val="Bio"/>
        <w:rPr>
          <w:b/>
          <w:bCs/>
          <w:color w:val="auto"/>
        </w:rPr>
      </w:pPr>
      <w:r w:rsidRPr="007509CF">
        <w:rPr>
          <w:b/>
          <w:bCs/>
          <w:color w:val="auto"/>
        </w:rPr>
        <w:t>Neil McLarnon</w:t>
      </w:r>
    </w:p>
    <w:p w:rsidR="00342AC6" w:rsidRPr="007509CF" w:rsidRDefault="00342AC6" w:rsidP="007509CF">
      <w:pPr>
        <w:pStyle w:val="Bio"/>
        <w:rPr>
          <w:color w:val="auto"/>
        </w:rPr>
      </w:pPr>
      <w:r w:rsidRPr="007509CF">
        <w:rPr>
          <w:b/>
          <w:bCs/>
          <w:color w:val="auto"/>
        </w:rPr>
        <w:t>Tel: +1 345 623 2378 / Email: nmclarnon@tta.lawyer</w:t>
      </w:r>
    </w:p>
    <w:p w:rsidR="00342AC6" w:rsidRPr="007509CF" w:rsidRDefault="00342AC6" w:rsidP="007509CF">
      <w:pPr>
        <w:pStyle w:val="para"/>
        <w:spacing w:before="0" w:after="0" w:line="276" w:lineRule="auto"/>
        <w:outlineLvl w:val="0"/>
        <w:rPr>
          <w:sz w:val="20"/>
        </w:rPr>
      </w:pPr>
      <w:r w:rsidRPr="007509CF">
        <w:rPr>
          <w:sz w:val="20"/>
        </w:rPr>
        <w:t xml:space="preserve">As sole counsel, Neil has represented clients at every level of the English civil law court structure, from tribunals and county courts, through the High Court, the Court of Appeal to the UK Supreme Court.  He has represented clients in ICC, LCIA, DIAC and </w:t>
      </w:r>
      <w:r w:rsidRPr="007509CF">
        <w:rPr>
          <w:i/>
          <w:iCs/>
          <w:sz w:val="20"/>
        </w:rPr>
        <w:t>ad hoc</w:t>
      </w:r>
      <w:r w:rsidRPr="007509CF">
        <w:rPr>
          <w:sz w:val="20"/>
        </w:rPr>
        <w:t xml:space="preserve"> arbitrations.  He also regularly appears before the Dubai International Financial Centre Court.  As </w:t>
      </w:r>
      <w:r w:rsidR="00C66791">
        <w:rPr>
          <w:sz w:val="20"/>
        </w:rPr>
        <w:t>j</w:t>
      </w:r>
      <w:r w:rsidRPr="007509CF">
        <w:rPr>
          <w:sz w:val="20"/>
        </w:rPr>
        <w:t xml:space="preserve">unior </w:t>
      </w:r>
      <w:r w:rsidR="00C66791">
        <w:rPr>
          <w:sz w:val="20"/>
        </w:rPr>
        <w:t>c</w:t>
      </w:r>
      <w:r w:rsidRPr="007509CF">
        <w:rPr>
          <w:sz w:val="20"/>
        </w:rPr>
        <w:t xml:space="preserve">ounsel, he has worked alongside </w:t>
      </w:r>
      <w:r w:rsidR="00C66791">
        <w:rPr>
          <w:sz w:val="20"/>
        </w:rPr>
        <w:t>s</w:t>
      </w:r>
      <w:r w:rsidRPr="007509CF">
        <w:rPr>
          <w:sz w:val="20"/>
        </w:rPr>
        <w:t xml:space="preserve">enior </w:t>
      </w:r>
      <w:r w:rsidR="00C66791">
        <w:rPr>
          <w:sz w:val="20"/>
        </w:rPr>
        <w:t>c</w:t>
      </w:r>
      <w:r w:rsidRPr="007509CF">
        <w:rPr>
          <w:sz w:val="20"/>
        </w:rPr>
        <w:t>ounsel for hearings and trials taking place before the High Court and the Courts of the Bahamas, the British Virgin Islands, the Cayman Islands, Guernsey and Jersey.  Neil</w:t>
      </w:r>
      <w:r w:rsidR="007509CF">
        <w:rPr>
          <w:sz w:val="20"/>
        </w:rPr>
        <w:t>’</w:t>
      </w:r>
      <w:r w:rsidRPr="007509CF">
        <w:rPr>
          <w:sz w:val="20"/>
        </w:rPr>
        <w:t>s practice areas include arbitration, banking and finance, civil fraud, commercial law, company law, directors</w:t>
      </w:r>
      <w:r w:rsidR="007509CF">
        <w:rPr>
          <w:sz w:val="20"/>
        </w:rPr>
        <w:t>’</w:t>
      </w:r>
      <w:r w:rsidRPr="007509CF">
        <w:rPr>
          <w:sz w:val="20"/>
        </w:rPr>
        <w:t xml:space="preserve"> duties, funds law, injunctions, insolvency law, partnership law, private international law and trusts and estates law.  Neil is ranked in </w:t>
      </w:r>
      <w:r w:rsidRPr="007509CF">
        <w:rPr>
          <w:i/>
          <w:iCs/>
          <w:sz w:val="20"/>
        </w:rPr>
        <w:t>Citywealth</w:t>
      </w:r>
      <w:r w:rsidRPr="007509CF">
        <w:rPr>
          <w:sz w:val="20"/>
        </w:rPr>
        <w:t xml:space="preserve"> as a leading trusts barrister.</w:t>
      </w:r>
    </w:p>
    <w:p w:rsidR="00342AC6" w:rsidRPr="007509CF" w:rsidRDefault="00342AC6" w:rsidP="00342AC6">
      <w:pPr>
        <w:pStyle w:val="para"/>
        <w:spacing w:before="0" w:after="0" w:line="276" w:lineRule="auto"/>
        <w:jc w:val="center"/>
        <w:outlineLvl w:val="0"/>
        <w:rPr>
          <w:sz w:val="20"/>
        </w:rPr>
      </w:pPr>
    </w:p>
    <w:p w:rsidR="00F9746D" w:rsidRPr="007509CF" w:rsidRDefault="00173681" w:rsidP="00342AC6">
      <w:pPr>
        <w:pStyle w:val="para"/>
        <w:spacing w:before="0" w:after="0" w:line="276" w:lineRule="auto"/>
        <w:jc w:val="center"/>
        <w:outlineLvl w:val="0"/>
        <w:rPr>
          <w:bCs/>
          <w:sz w:val="20"/>
        </w:rPr>
      </w:pPr>
      <w:r w:rsidRPr="007509CF">
        <w:rPr>
          <w:bCs/>
          <w:sz w:val="20"/>
        </w:rPr>
        <w:t>Travers Thorp Alberga</w:t>
      </w:r>
    </w:p>
    <w:p w:rsidR="00342AC6" w:rsidRPr="007509CF" w:rsidRDefault="00342AC6" w:rsidP="00342AC6">
      <w:pPr>
        <w:pStyle w:val="BackPages-FirmAddress"/>
        <w:rPr>
          <w:color w:val="auto"/>
          <w:sz w:val="20"/>
          <w:szCs w:val="20"/>
        </w:rPr>
      </w:pPr>
      <w:r w:rsidRPr="007509CF">
        <w:rPr>
          <w:color w:val="auto"/>
          <w:sz w:val="20"/>
          <w:szCs w:val="20"/>
        </w:rPr>
        <w:t>103 South Church St., Harbour Place, George Town, PO Box 472, Grand Cayman, KY1-1106, Cayman Islands</w:t>
      </w:r>
    </w:p>
    <w:p w:rsidR="0043297B" w:rsidRPr="007509CF" w:rsidRDefault="00342AC6" w:rsidP="00342AC6">
      <w:pPr>
        <w:spacing w:line="276" w:lineRule="auto"/>
        <w:jc w:val="center"/>
        <w:rPr>
          <w:rFonts w:ascii="Times New Roman" w:hAnsi="Times New Roman"/>
          <w:bCs/>
          <w:sz w:val="20"/>
          <w:szCs w:val="20"/>
        </w:rPr>
      </w:pPr>
      <w:r w:rsidRPr="007509CF">
        <w:rPr>
          <w:rFonts w:ascii="Times New Roman" w:hAnsi="Times New Roman"/>
          <w:sz w:val="20"/>
          <w:szCs w:val="20"/>
        </w:rPr>
        <w:t>Tel: +1 345 949 0699 / URL: www.traversthorpalberga.com</w:t>
      </w:r>
    </w:p>
    <w:sectPr w:rsidR="0043297B" w:rsidRPr="007509CF" w:rsidSect="00C11427">
      <w:footerReference w:type="even" r:id="rId11"/>
      <w:footerReference w:type="first" r:id="rId12"/>
      <w:pgSz w:w="11907" w:h="16839" w:code="9"/>
      <w:pgMar w:top="1440" w:right="1440" w:bottom="1440" w:left="1440" w:header="720" w:footer="57" w:gutter="0"/>
      <w:paperSrc w:first="7" w:other="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53007" w:rsidRPr="00470DF7" w:rsidRDefault="00653007" w:rsidP="00732261">
      <w:pPr>
        <w:pStyle w:val="StandardAshurst"/>
      </w:pPr>
      <w:r w:rsidRPr="00470DF7">
        <w:continuationSeparator/>
      </w:r>
    </w:p>
  </w:endnote>
  <w:endnote w:type="continuationSeparator" w:id="0">
    <w:p w:rsidR="00653007" w:rsidRPr="00470DF7" w:rsidRDefault="00653007" w:rsidP="00732261">
      <w:pPr>
        <w:pStyle w:val="StandardAshurst"/>
      </w:pPr>
      <w:r w:rsidRPr="00470DF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CellMar>
        <w:left w:w="0" w:type="dxa"/>
        <w:right w:w="0" w:type="dxa"/>
      </w:tblCellMar>
      <w:tblLook w:val="01E0" w:firstRow="1" w:lastRow="1" w:firstColumn="1" w:lastColumn="1" w:noHBand="0" w:noVBand="0"/>
    </w:tblPr>
    <w:tblGrid>
      <w:gridCol w:w="3006"/>
      <w:gridCol w:w="3006"/>
      <w:gridCol w:w="3015"/>
    </w:tblGrid>
    <w:tr w:rsidR="00334BCA" w:rsidRPr="00470DF7">
      <w:tc>
        <w:tcPr>
          <w:tcW w:w="1665" w:type="pct"/>
        </w:tcPr>
        <w:p w:rsidR="00334BCA" w:rsidRPr="00470DF7" w:rsidRDefault="00334BCA">
          <w:pPr>
            <w:pStyle w:val="Footer"/>
          </w:pPr>
        </w:p>
      </w:tc>
      <w:tc>
        <w:tcPr>
          <w:tcW w:w="1665" w:type="pct"/>
        </w:tcPr>
        <w:p w:rsidR="00334BCA" w:rsidRPr="00470DF7" w:rsidRDefault="00334BCA">
          <w:pPr>
            <w:pStyle w:val="Footer"/>
            <w:jc w:val="center"/>
            <w:rPr>
              <w:rStyle w:val="PageNumber"/>
            </w:rPr>
          </w:pPr>
          <w:r w:rsidRPr="00470DF7">
            <w:rPr>
              <w:rStyle w:val="PageNumber"/>
            </w:rPr>
            <w:fldChar w:fldCharType="begin"/>
          </w:r>
          <w:r w:rsidRPr="00470DF7">
            <w:rPr>
              <w:rStyle w:val="PageNumber"/>
            </w:rPr>
            <w:instrText xml:space="preserve"> PAGE  \* MERGEFORMAT </w:instrText>
          </w:r>
          <w:r w:rsidRPr="00470DF7">
            <w:rPr>
              <w:rStyle w:val="PageNumber"/>
            </w:rPr>
            <w:fldChar w:fldCharType="separate"/>
          </w:r>
          <w:r w:rsidRPr="00470DF7">
            <w:rPr>
              <w:rStyle w:val="PageNumber"/>
            </w:rPr>
            <w:t>1</w:t>
          </w:r>
          <w:r w:rsidRPr="00470DF7">
            <w:rPr>
              <w:rStyle w:val="PageNumber"/>
            </w:rPr>
            <w:fldChar w:fldCharType="end"/>
          </w:r>
        </w:p>
      </w:tc>
      <w:tc>
        <w:tcPr>
          <w:tcW w:w="1670" w:type="pct"/>
        </w:tcPr>
        <w:p w:rsidR="00334BCA" w:rsidRPr="00470DF7" w:rsidRDefault="00334BCA">
          <w:pPr>
            <w:pStyle w:val="Footer"/>
          </w:pPr>
        </w:p>
      </w:tc>
    </w:tr>
    <w:tr w:rsidR="00334BCA" w:rsidRPr="00470DF7">
      <w:tc>
        <w:tcPr>
          <w:tcW w:w="5000" w:type="pct"/>
          <w:gridSpan w:val="3"/>
        </w:tcPr>
        <w:p w:rsidR="00334BCA" w:rsidRPr="00470DF7" w:rsidRDefault="004B169C">
          <w:pPr>
            <w:pStyle w:val="Footer"/>
          </w:pPr>
          <w:fldSimple w:instr=" DOCPROPERTY  ashurstDocRef  \* MERGEFORMAT ">
            <w:r w:rsidR="00EF0C71">
              <w:t>11:45\09 March 2011\LONDON\CHC\19651489.03</w:t>
            </w:r>
          </w:fldSimple>
        </w:p>
      </w:tc>
    </w:tr>
  </w:tbl>
  <w:p w:rsidR="00334BCA" w:rsidRPr="00470DF7" w:rsidRDefault="00334BCA" w:rsidP="00470DF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CellMar>
        <w:left w:w="0" w:type="dxa"/>
        <w:right w:w="0" w:type="dxa"/>
      </w:tblCellMar>
      <w:tblLook w:val="01E0" w:firstRow="1" w:lastRow="1" w:firstColumn="1" w:lastColumn="1" w:noHBand="0" w:noVBand="0"/>
    </w:tblPr>
    <w:tblGrid>
      <w:gridCol w:w="3006"/>
      <w:gridCol w:w="3006"/>
      <w:gridCol w:w="3015"/>
    </w:tblGrid>
    <w:tr w:rsidR="00334BCA" w:rsidRPr="00470DF7">
      <w:tc>
        <w:tcPr>
          <w:tcW w:w="1665" w:type="pct"/>
        </w:tcPr>
        <w:p w:rsidR="00334BCA" w:rsidRPr="00470DF7" w:rsidRDefault="00334BCA">
          <w:pPr>
            <w:pStyle w:val="Footer"/>
          </w:pPr>
        </w:p>
      </w:tc>
      <w:tc>
        <w:tcPr>
          <w:tcW w:w="1665" w:type="pct"/>
        </w:tcPr>
        <w:p w:rsidR="00334BCA" w:rsidRPr="00470DF7" w:rsidRDefault="00334BCA">
          <w:pPr>
            <w:pStyle w:val="Footer"/>
            <w:jc w:val="center"/>
            <w:rPr>
              <w:rStyle w:val="PageNumber"/>
            </w:rPr>
          </w:pPr>
          <w:r w:rsidRPr="00470DF7">
            <w:rPr>
              <w:rStyle w:val="PageNumber"/>
            </w:rPr>
            <w:fldChar w:fldCharType="begin"/>
          </w:r>
          <w:r w:rsidRPr="00470DF7">
            <w:rPr>
              <w:rStyle w:val="PageNumber"/>
            </w:rPr>
            <w:instrText xml:space="preserve"> PAGE  \* MERGEFORMAT </w:instrText>
          </w:r>
          <w:r w:rsidRPr="00470DF7">
            <w:rPr>
              <w:rStyle w:val="PageNumber"/>
            </w:rPr>
            <w:fldChar w:fldCharType="separate"/>
          </w:r>
          <w:r w:rsidRPr="00470DF7">
            <w:rPr>
              <w:rStyle w:val="PageNumber"/>
            </w:rPr>
            <w:t>1</w:t>
          </w:r>
          <w:r w:rsidRPr="00470DF7">
            <w:rPr>
              <w:rStyle w:val="PageNumber"/>
            </w:rPr>
            <w:fldChar w:fldCharType="end"/>
          </w:r>
        </w:p>
      </w:tc>
      <w:tc>
        <w:tcPr>
          <w:tcW w:w="1670" w:type="pct"/>
        </w:tcPr>
        <w:p w:rsidR="00334BCA" w:rsidRPr="00470DF7" w:rsidRDefault="00334BCA">
          <w:pPr>
            <w:pStyle w:val="Footer"/>
          </w:pPr>
        </w:p>
      </w:tc>
    </w:tr>
    <w:tr w:rsidR="00334BCA" w:rsidRPr="00470DF7">
      <w:tc>
        <w:tcPr>
          <w:tcW w:w="5000" w:type="pct"/>
          <w:gridSpan w:val="3"/>
        </w:tcPr>
        <w:p w:rsidR="00334BCA" w:rsidRPr="00470DF7" w:rsidRDefault="004B169C">
          <w:pPr>
            <w:pStyle w:val="Footer"/>
          </w:pPr>
          <w:fldSimple w:instr=" DOCPROPERTY  ashurstDocRef  \* MERGEFORMAT ">
            <w:r w:rsidR="00EF0C71">
              <w:t>11:45\09 March 2011\LONDON\CHC\19651489.03</w:t>
            </w:r>
          </w:fldSimple>
        </w:p>
      </w:tc>
    </w:tr>
  </w:tbl>
  <w:p w:rsidR="00334BCA" w:rsidRPr="00470DF7" w:rsidRDefault="00334BCA" w:rsidP="00470DF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53007" w:rsidRPr="00470DF7" w:rsidRDefault="00653007" w:rsidP="00732261">
      <w:pPr>
        <w:pStyle w:val="StandardAshurst"/>
      </w:pPr>
      <w:r w:rsidRPr="00470DF7">
        <w:continuationSeparator/>
      </w:r>
    </w:p>
  </w:footnote>
  <w:footnote w:type="continuationSeparator" w:id="0">
    <w:p w:rsidR="00653007" w:rsidRPr="00470DF7" w:rsidRDefault="00653007" w:rsidP="00732261">
      <w:pPr>
        <w:pStyle w:val="StandardAshurst"/>
      </w:pPr>
      <w:r w:rsidRPr="00470DF7">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26B21"/>
    <w:multiLevelType w:val="hybridMultilevel"/>
    <w:tmpl w:val="629C90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E17314"/>
    <w:multiLevelType w:val="multilevel"/>
    <w:tmpl w:val="6CE2785A"/>
    <w:lvl w:ilvl="0">
      <w:start w:val="1"/>
      <w:numFmt w:val="decimal"/>
      <w:pStyle w:val="APPENDIXAshurst"/>
      <w:suff w:val="nothing"/>
      <w:lvlText w:val="appendix %1"/>
      <w:lvlJc w:val="left"/>
      <w:pPr>
        <w:ind w:left="0" w:firstLine="0"/>
      </w:pPr>
      <w:rPr>
        <w:rFonts w:hint="default"/>
        <w:b/>
        <w:i w:val="0"/>
        <w:sz w:val="18"/>
        <w:szCs w:val="18"/>
      </w:rPr>
    </w:lvl>
    <w:lvl w:ilvl="1">
      <w:start w:val="1"/>
      <w:numFmt w:val="none"/>
      <w:lvlRestart w:val="0"/>
      <w:suff w:val="nothing"/>
      <w:lvlText w:val=""/>
      <w:lvlJc w:val="left"/>
      <w:pPr>
        <w:ind w:left="0" w:firstLine="0"/>
      </w:pPr>
      <w:rPr>
        <w:rFonts w:hint="default"/>
        <w:b w:val="0"/>
        <w:i w:val="0"/>
        <w:sz w:val="18"/>
        <w:szCs w:val="18"/>
        <w:u w:val="none"/>
      </w:rPr>
    </w:lvl>
    <w:lvl w:ilvl="2">
      <w:start w:val="1"/>
      <w:numFmt w:val="none"/>
      <w:lvlRestart w:val="0"/>
      <w:suff w:val="nothing"/>
      <w:lvlText w:val=""/>
      <w:lvlJc w:val="left"/>
      <w:pPr>
        <w:ind w:left="0" w:firstLine="0"/>
      </w:pPr>
      <w:rPr>
        <w:rFonts w:hint="default"/>
        <w:b w:val="0"/>
        <w:i w:val="0"/>
        <w:caps w:val="0"/>
        <w:smallCaps w:val="0"/>
        <w:sz w:val="18"/>
        <w:u w:val="none"/>
      </w:rPr>
    </w:lvl>
    <w:lvl w:ilvl="3">
      <w:start w:val="1"/>
      <w:numFmt w:val="none"/>
      <w:lvlRestart w:val="0"/>
      <w:suff w:val="nothing"/>
      <w:lvlText w:val=""/>
      <w:lvlJc w:val="left"/>
      <w:pPr>
        <w:ind w:left="0" w:firstLine="0"/>
      </w:pPr>
      <w:rPr>
        <w:rFonts w:hint="default"/>
        <w:b w:val="0"/>
        <w:i w:val="0"/>
        <w:caps w:val="0"/>
        <w:smallCaps w:val="0"/>
        <w:sz w:val="18"/>
        <w:u w:val="none"/>
      </w:rPr>
    </w:lvl>
    <w:lvl w:ilvl="4">
      <w:start w:val="1"/>
      <w:numFmt w:val="none"/>
      <w:lvlRestart w:val="0"/>
      <w:suff w:val="nothing"/>
      <w:lvlText w:val=""/>
      <w:lvlJc w:val="left"/>
      <w:pPr>
        <w:ind w:left="0" w:firstLine="0"/>
      </w:pPr>
      <w:rPr>
        <w:rFonts w:hint="default"/>
        <w:b w:val="0"/>
        <w:i w:val="0"/>
        <w:caps/>
        <w:sz w:val="18"/>
        <w:u w:val="none"/>
      </w:rPr>
    </w:lvl>
    <w:lvl w:ilvl="5">
      <w:start w:val="27"/>
      <w:numFmt w:val="none"/>
      <w:lvlRestart w:val="0"/>
      <w:suff w:val="nothing"/>
      <w:lvlText w:val=""/>
      <w:lvlJc w:val="left"/>
      <w:pPr>
        <w:ind w:left="0" w:firstLine="0"/>
      </w:pPr>
      <w:rPr>
        <w:rFonts w:hint="default"/>
        <w:b w:val="0"/>
        <w:i w:val="0"/>
        <w:caps w:val="0"/>
        <w:sz w:val="18"/>
        <w:szCs w:val="18"/>
      </w:rPr>
    </w:lvl>
    <w:lvl w:ilvl="6">
      <w:start w:val="1"/>
      <w:numFmt w:val="none"/>
      <w:lvlRestart w:val="0"/>
      <w:suff w:val="nothing"/>
      <w:lvlText w:val=""/>
      <w:lvlJc w:val="left"/>
      <w:pPr>
        <w:ind w:left="0" w:firstLine="0"/>
      </w:pPr>
      <w:rPr>
        <w:rFonts w:ascii="Times New Roman" w:hAnsi="Times New Roman" w:hint="default"/>
        <w:b w:val="0"/>
        <w:i w:val="0"/>
      </w:rPr>
    </w:lvl>
    <w:lvl w:ilvl="7">
      <w:start w:val="1"/>
      <w:numFmt w:val="none"/>
      <w:lvlRestart w:val="0"/>
      <w:suff w:val="nothing"/>
      <w:lvlText w:val=""/>
      <w:lvlJc w:val="left"/>
      <w:pPr>
        <w:ind w:left="0" w:firstLine="0"/>
      </w:pPr>
      <w:rPr>
        <w:rFonts w:ascii="Times New Roman" w:hAnsi="Times New Roman" w:hint="default"/>
        <w:b w:val="0"/>
        <w:i w:val="0"/>
      </w:rPr>
    </w:lvl>
    <w:lvl w:ilvl="8">
      <w:start w:val="1"/>
      <w:numFmt w:val="none"/>
      <w:lvlRestart w:val="0"/>
      <w:suff w:val="nothing"/>
      <w:lvlText w:val=""/>
      <w:lvlJc w:val="left"/>
      <w:pPr>
        <w:ind w:left="0" w:firstLine="0"/>
      </w:pPr>
      <w:rPr>
        <w:rFonts w:ascii="Times New Roman" w:hAnsi="Times New Roman" w:hint="default"/>
        <w:b w:val="0"/>
        <w:i w:val="0"/>
      </w:rPr>
    </w:lvl>
  </w:abstractNum>
  <w:abstractNum w:abstractNumId="2" w15:restartNumberingAfterBreak="0">
    <w:nsid w:val="055E1952"/>
    <w:multiLevelType w:val="hybridMultilevel"/>
    <w:tmpl w:val="21E82E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253590"/>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094A0D3F"/>
    <w:multiLevelType w:val="hybridMultilevel"/>
    <w:tmpl w:val="3968D1D6"/>
    <w:lvl w:ilvl="0" w:tplc="0B0AD934">
      <w:start w:val="1"/>
      <w:numFmt w:val="bullet"/>
      <w:pStyle w:val="Bullet2Ashurst"/>
      <w:lvlText w:val=""/>
      <w:lvlJc w:val="left"/>
      <w:pPr>
        <w:tabs>
          <w:tab w:val="num" w:pos="1406"/>
        </w:tabs>
        <w:ind w:left="1406" w:hanging="624"/>
      </w:pPr>
      <w:rPr>
        <w:rFonts w:ascii="Symbol" w:hAnsi="Symbol" w:hint="default"/>
        <w:b w:val="0"/>
        <w:i w:val="0"/>
        <w:sz w:val="18"/>
        <w:szCs w:val="18"/>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A21331E"/>
    <w:multiLevelType w:val="multilevel"/>
    <w:tmpl w:val="D28021A8"/>
    <w:lvl w:ilvl="0">
      <w:start w:val="1"/>
      <w:numFmt w:val="decimal"/>
      <w:pStyle w:val="SCHEDULEAshurst"/>
      <w:suff w:val="nothing"/>
      <w:lvlText w:val="schedule %1"/>
      <w:lvlJc w:val="left"/>
      <w:pPr>
        <w:ind w:left="0" w:firstLine="0"/>
      </w:pPr>
      <w:rPr>
        <w:rFonts w:hint="default"/>
        <w:b/>
        <w:i w:val="0"/>
        <w:sz w:val="18"/>
      </w:rPr>
    </w:lvl>
    <w:lvl w:ilvl="1">
      <w:start w:val="1"/>
      <w:numFmt w:val="none"/>
      <w:lvlRestart w:val="0"/>
      <w:suff w:val="nothing"/>
      <w:lvlText w:val=""/>
      <w:lvlJc w:val="left"/>
      <w:pPr>
        <w:ind w:left="0" w:firstLine="0"/>
      </w:pPr>
      <w:rPr>
        <w:rFonts w:hint="default"/>
        <w:b w:val="0"/>
        <w:i w:val="0"/>
        <w:sz w:val="18"/>
        <w:szCs w:val="18"/>
        <w:u w:val="none"/>
      </w:rPr>
    </w:lvl>
    <w:lvl w:ilvl="2">
      <w:start w:val="1"/>
      <w:numFmt w:val="none"/>
      <w:lvlRestart w:val="0"/>
      <w:suff w:val="nothing"/>
      <w:lvlText w:val=""/>
      <w:lvlJc w:val="left"/>
      <w:pPr>
        <w:ind w:left="0" w:firstLine="0"/>
      </w:pPr>
      <w:rPr>
        <w:rFonts w:hint="default"/>
        <w:b w:val="0"/>
        <w:i w:val="0"/>
        <w:caps w:val="0"/>
        <w:smallCaps w:val="0"/>
        <w:sz w:val="18"/>
        <w:u w:val="none"/>
      </w:rPr>
    </w:lvl>
    <w:lvl w:ilvl="3">
      <w:start w:val="1"/>
      <w:numFmt w:val="none"/>
      <w:lvlRestart w:val="0"/>
      <w:suff w:val="nothing"/>
      <w:lvlText w:val=""/>
      <w:lvlJc w:val="left"/>
      <w:pPr>
        <w:ind w:left="0" w:firstLine="0"/>
      </w:pPr>
      <w:rPr>
        <w:rFonts w:hint="default"/>
        <w:b w:val="0"/>
        <w:i w:val="0"/>
        <w:caps w:val="0"/>
        <w:smallCaps w:val="0"/>
        <w:sz w:val="18"/>
        <w:u w:val="none"/>
      </w:rPr>
    </w:lvl>
    <w:lvl w:ilvl="4">
      <w:start w:val="1"/>
      <w:numFmt w:val="none"/>
      <w:lvlRestart w:val="0"/>
      <w:suff w:val="nothing"/>
      <w:lvlText w:val=""/>
      <w:lvlJc w:val="left"/>
      <w:pPr>
        <w:ind w:left="0" w:firstLine="0"/>
      </w:pPr>
      <w:rPr>
        <w:rFonts w:hint="default"/>
        <w:b w:val="0"/>
        <w:i w:val="0"/>
        <w:caps/>
        <w:sz w:val="18"/>
        <w:u w:val="none"/>
      </w:rPr>
    </w:lvl>
    <w:lvl w:ilvl="5">
      <w:start w:val="27"/>
      <w:numFmt w:val="none"/>
      <w:lvlRestart w:val="0"/>
      <w:suff w:val="nothing"/>
      <w:lvlText w:val=""/>
      <w:lvlJc w:val="left"/>
      <w:pPr>
        <w:ind w:left="0" w:firstLine="0"/>
      </w:pPr>
      <w:rPr>
        <w:rFonts w:hint="default"/>
        <w:b w:val="0"/>
        <w:i w:val="0"/>
        <w:caps w:val="0"/>
        <w:sz w:val="18"/>
        <w:szCs w:val="18"/>
      </w:rPr>
    </w:lvl>
    <w:lvl w:ilvl="6">
      <w:start w:val="1"/>
      <w:numFmt w:val="none"/>
      <w:lvlRestart w:val="0"/>
      <w:suff w:val="nothing"/>
      <w:lvlText w:val=""/>
      <w:lvlJc w:val="left"/>
      <w:pPr>
        <w:ind w:left="0" w:firstLine="0"/>
      </w:pPr>
      <w:rPr>
        <w:rFonts w:ascii="Times New Roman" w:hAnsi="Times New Roman" w:hint="default"/>
        <w:b w:val="0"/>
        <w:i w:val="0"/>
      </w:rPr>
    </w:lvl>
    <w:lvl w:ilvl="7">
      <w:start w:val="1"/>
      <w:numFmt w:val="none"/>
      <w:lvlRestart w:val="0"/>
      <w:suff w:val="nothing"/>
      <w:lvlText w:val=""/>
      <w:lvlJc w:val="left"/>
      <w:pPr>
        <w:ind w:left="0" w:firstLine="0"/>
      </w:pPr>
      <w:rPr>
        <w:rFonts w:ascii="Times New Roman" w:hAnsi="Times New Roman" w:hint="default"/>
        <w:b w:val="0"/>
        <w:i w:val="0"/>
      </w:rPr>
    </w:lvl>
    <w:lvl w:ilvl="8">
      <w:start w:val="1"/>
      <w:numFmt w:val="none"/>
      <w:lvlRestart w:val="0"/>
      <w:suff w:val="nothing"/>
      <w:lvlText w:val=""/>
      <w:lvlJc w:val="left"/>
      <w:pPr>
        <w:ind w:left="0" w:firstLine="0"/>
      </w:pPr>
      <w:rPr>
        <w:rFonts w:ascii="Times New Roman" w:hAnsi="Times New Roman" w:hint="default"/>
        <w:b w:val="0"/>
        <w:i w:val="0"/>
      </w:rPr>
    </w:lvl>
  </w:abstractNum>
  <w:abstractNum w:abstractNumId="6" w15:restartNumberingAfterBreak="0">
    <w:nsid w:val="0F600E5E"/>
    <w:multiLevelType w:val="multilevel"/>
    <w:tmpl w:val="30A0E2E0"/>
    <w:lvl w:ilvl="0">
      <w:start w:val="1"/>
      <w:numFmt w:val="lowerLetter"/>
      <w:pStyle w:val="Outline1"/>
      <w:lvlText w:val="%1)"/>
      <w:lvlJc w:val="left"/>
      <w:pPr>
        <w:tabs>
          <w:tab w:val="num" w:pos="567"/>
        </w:tabs>
        <w:ind w:left="567" w:hanging="567"/>
      </w:pPr>
      <w:rPr>
        <w:rFonts w:hint="default"/>
      </w:rPr>
    </w:lvl>
    <w:lvl w:ilvl="1">
      <w:start w:val="1"/>
      <w:numFmt w:val="lowerRoman"/>
      <w:pStyle w:val="Outline2"/>
      <w:lvlText w:val="%2)"/>
      <w:lvlJc w:val="left"/>
      <w:pPr>
        <w:tabs>
          <w:tab w:val="num" w:pos="1134"/>
        </w:tabs>
        <w:ind w:left="1134" w:hanging="567"/>
      </w:pPr>
      <w:rPr>
        <w:rFonts w:hint="default"/>
      </w:rPr>
    </w:lvl>
    <w:lvl w:ilvl="2">
      <w:start w:val="1"/>
      <w:numFmt w:val="lowerRoman"/>
      <w:lvlText w:val="%3)"/>
      <w:lvlJc w:val="left"/>
      <w:pPr>
        <w:tabs>
          <w:tab w:val="num" w:pos="1191"/>
        </w:tabs>
        <w:ind w:left="1191" w:hanging="397"/>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10F77C36"/>
    <w:multiLevelType w:val="hybridMultilevel"/>
    <w:tmpl w:val="0804BDDA"/>
    <w:lvl w:ilvl="0" w:tplc="0B30B13E">
      <w:start w:val="1"/>
      <w:numFmt w:val="bullet"/>
      <w:pStyle w:val="Bullet1Ashurst"/>
      <w:lvlText w:val=""/>
      <w:lvlJc w:val="left"/>
      <w:pPr>
        <w:tabs>
          <w:tab w:val="num" w:pos="1406"/>
        </w:tabs>
        <w:ind w:left="1406" w:hanging="624"/>
      </w:pPr>
      <w:rPr>
        <w:rFonts w:ascii="Symbol" w:hAnsi="Symbol" w:hint="default"/>
        <w:b w:val="0"/>
        <w:i w:val="0"/>
        <w:sz w:val="18"/>
        <w:szCs w:val="18"/>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6933E9B"/>
    <w:multiLevelType w:val="multilevel"/>
    <w:tmpl w:val="2CBA33F8"/>
    <w:lvl w:ilvl="0">
      <w:start w:val="1"/>
      <w:numFmt w:val="lowerLetter"/>
      <w:lvlText w:val="(%1)"/>
      <w:lvlJc w:val="left"/>
      <w:pPr>
        <w:tabs>
          <w:tab w:val="num" w:pos="1406"/>
        </w:tabs>
        <w:ind w:left="1406" w:hanging="624"/>
      </w:pPr>
      <w:rPr>
        <w:rFonts w:ascii="Verdana" w:hAnsi="Verdana" w:hint="default"/>
        <w:b w:val="0"/>
        <w:i w:val="0"/>
        <w:sz w:val="18"/>
        <w:szCs w:val="18"/>
      </w:rPr>
    </w:lvl>
    <w:lvl w:ilvl="1">
      <w:start w:val="1"/>
      <w:numFmt w:val="lowerRoman"/>
      <w:lvlText w:val="(%2)"/>
      <w:lvlJc w:val="left"/>
      <w:pPr>
        <w:tabs>
          <w:tab w:val="num" w:pos="2030"/>
        </w:tabs>
        <w:ind w:left="2030" w:hanging="624"/>
      </w:pPr>
      <w:rPr>
        <w:rFonts w:ascii="Verdana" w:hAnsi="Verdana" w:hint="default"/>
        <w:b w:val="0"/>
        <w:i w:val="0"/>
        <w:sz w:val="18"/>
        <w:szCs w:val="18"/>
      </w:rPr>
    </w:lvl>
    <w:lvl w:ilvl="2">
      <w:start w:val="1"/>
      <w:numFmt w:val="none"/>
      <w:suff w:val="nothing"/>
      <w:lvlText w:val=""/>
      <w:lvlJc w:val="left"/>
      <w:pPr>
        <w:ind w:left="782" w:firstLine="0"/>
      </w:pPr>
      <w:rPr>
        <w:rFonts w:hint="default"/>
      </w:rPr>
    </w:lvl>
    <w:lvl w:ilvl="3">
      <w:start w:val="1"/>
      <w:numFmt w:val="none"/>
      <w:suff w:val="nothing"/>
      <w:lvlText w:val=""/>
      <w:lvlJc w:val="left"/>
      <w:pPr>
        <w:ind w:left="782" w:firstLine="0"/>
      </w:pPr>
      <w:rPr>
        <w:rFonts w:hint="default"/>
      </w:rPr>
    </w:lvl>
    <w:lvl w:ilvl="4">
      <w:start w:val="1"/>
      <w:numFmt w:val="none"/>
      <w:suff w:val="nothing"/>
      <w:lvlText w:val=""/>
      <w:lvlJc w:val="left"/>
      <w:pPr>
        <w:ind w:left="782" w:firstLine="0"/>
      </w:pPr>
      <w:rPr>
        <w:rFonts w:hint="default"/>
      </w:rPr>
    </w:lvl>
    <w:lvl w:ilvl="5">
      <w:start w:val="1"/>
      <w:numFmt w:val="none"/>
      <w:suff w:val="nothing"/>
      <w:lvlText w:val=""/>
      <w:lvlJc w:val="left"/>
      <w:pPr>
        <w:ind w:left="782" w:firstLine="0"/>
      </w:pPr>
      <w:rPr>
        <w:rFonts w:hint="default"/>
      </w:rPr>
    </w:lvl>
    <w:lvl w:ilvl="6">
      <w:start w:val="1"/>
      <w:numFmt w:val="none"/>
      <w:suff w:val="nothing"/>
      <w:lvlText w:val=""/>
      <w:lvlJc w:val="left"/>
      <w:pPr>
        <w:ind w:left="782" w:firstLine="0"/>
      </w:pPr>
      <w:rPr>
        <w:rFonts w:hint="default"/>
      </w:rPr>
    </w:lvl>
    <w:lvl w:ilvl="7">
      <w:start w:val="1"/>
      <w:numFmt w:val="none"/>
      <w:suff w:val="nothing"/>
      <w:lvlText w:val=""/>
      <w:lvlJc w:val="left"/>
      <w:pPr>
        <w:ind w:left="782" w:firstLine="0"/>
      </w:pPr>
      <w:rPr>
        <w:rFonts w:hint="default"/>
      </w:rPr>
    </w:lvl>
    <w:lvl w:ilvl="8">
      <w:start w:val="1"/>
      <w:numFmt w:val="none"/>
      <w:suff w:val="nothing"/>
      <w:lvlText w:val=""/>
      <w:lvlJc w:val="left"/>
      <w:pPr>
        <w:ind w:left="782" w:firstLine="0"/>
      </w:pPr>
      <w:rPr>
        <w:rFonts w:hint="default"/>
      </w:rPr>
    </w:lvl>
  </w:abstractNum>
  <w:abstractNum w:abstractNumId="9" w15:restartNumberingAfterBreak="0">
    <w:nsid w:val="1F2A4CDE"/>
    <w:multiLevelType w:val="multilevel"/>
    <w:tmpl w:val="3FB22108"/>
    <w:lvl w:ilvl="0">
      <w:start w:val="1"/>
      <w:numFmt w:val="decimal"/>
      <w:pStyle w:val="Heading1"/>
      <w:lvlText w:val="%1."/>
      <w:lvlJc w:val="left"/>
      <w:pPr>
        <w:tabs>
          <w:tab w:val="num" w:pos="782"/>
        </w:tabs>
        <w:ind w:left="782" w:hanging="782"/>
      </w:pPr>
      <w:rPr>
        <w:rFonts w:hint="default"/>
        <w:b w:val="0"/>
        <w:i w:val="0"/>
        <w:sz w:val="18"/>
      </w:rPr>
    </w:lvl>
    <w:lvl w:ilvl="1">
      <w:start w:val="1"/>
      <w:numFmt w:val="decimal"/>
      <w:pStyle w:val="Heading2"/>
      <w:lvlText w:val="%1.%2"/>
      <w:lvlJc w:val="left"/>
      <w:pPr>
        <w:tabs>
          <w:tab w:val="num" w:pos="782"/>
        </w:tabs>
        <w:ind w:left="782" w:hanging="782"/>
      </w:pPr>
      <w:rPr>
        <w:rFonts w:hint="default"/>
        <w:b w:val="0"/>
        <w:i w:val="0"/>
        <w:sz w:val="18"/>
      </w:rPr>
    </w:lvl>
    <w:lvl w:ilvl="2">
      <w:start w:val="1"/>
      <w:numFmt w:val="lowerLetter"/>
      <w:pStyle w:val="Heading3"/>
      <w:lvlText w:val="(%3)"/>
      <w:lvlJc w:val="left"/>
      <w:pPr>
        <w:tabs>
          <w:tab w:val="num" w:pos="1406"/>
        </w:tabs>
        <w:ind w:left="1406" w:hanging="624"/>
      </w:pPr>
      <w:rPr>
        <w:rFonts w:hint="default"/>
        <w:b w:val="0"/>
        <w:i w:val="0"/>
        <w:sz w:val="18"/>
      </w:rPr>
    </w:lvl>
    <w:lvl w:ilvl="3">
      <w:start w:val="1"/>
      <w:numFmt w:val="lowerRoman"/>
      <w:pStyle w:val="Heading4"/>
      <w:lvlText w:val="(%4)"/>
      <w:lvlJc w:val="left"/>
      <w:pPr>
        <w:tabs>
          <w:tab w:val="num" w:pos="2030"/>
        </w:tabs>
        <w:ind w:left="2030" w:hanging="624"/>
      </w:pPr>
      <w:rPr>
        <w:rFonts w:hint="default"/>
        <w:b w:val="0"/>
        <w:i w:val="0"/>
        <w:sz w:val="18"/>
      </w:rPr>
    </w:lvl>
    <w:lvl w:ilvl="4">
      <w:start w:val="1"/>
      <w:numFmt w:val="upperLetter"/>
      <w:pStyle w:val="Heading5"/>
      <w:lvlText w:val="(%5)"/>
      <w:lvlJc w:val="left"/>
      <w:pPr>
        <w:tabs>
          <w:tab w:val="num" w:pos="2654"/>
        </w:tabs>
        <w:ind w:left="2654" w:hanging="624"/>
      </w:pPr>
      <w:rPr>
        <w:rFonts w:hint="default"/>
        <w:b w:val="0"/>
        <w:i w:val="0"/>
        <w:sz w:val="18"/>
      </w:rPr>
    </w:lvl>
    <w:lvl w:ilvl="5">
      <w:start w:val="1"/>
      <w:numFmt w:val="decimal"/>
      <w:lvlRestart w:val="0"/>
      <w:pStyle w:val="Heading6"/>
      <w:lvlText w:val="%6."/>
      <w:lvlJc w:val="left"/>
      <w:pPr>
        <w:tabs>
          <w:tab w:val="num" w:pos="782"/>
        </w:tabs>
        <w:ind w:left="782" w:hanging="782"/>
      </w:pPr>
      <w:rPr>
        <w:rFonts w:hint="default"/>
        <w:b w:val="0"/>
        <w:i w:val="0"/>
        <w:sz w:val="18"/>
      </w:rPr>
    </w:lvl>
    <w:lvl w:ilvl="6">
      <w:start w:val="1"/>
      <w:numFmt w:val="decimal"/>
      <w:pStyle w:val="Heading7"/>
      <w:lvlText w:val="%6.%7"/>
      <w:lvlJc w:val="left"/>
      <w:pPr>
        <w:tabs>
          <w:tab w:val="num" w:pos="782"/>
        </w:tabs>
        <w:ind w:left="782" w:hanging="782"/>
      </w:pPr>
      <w:rPr>
        <w:rFonts w:hint="default"/>
        <w:b w:val="0"/>
        <w:i w:val="0"/>
        <w:sz w:val="18"/>
      </w:rPr>
    </w:lvl>
    <w:lvl w:ilvl="7">
      <w:start w:val="1"/>
      <w:numFmt w:val="lowerLetter"/>
      <w:pStyle w:val="Heading8"/>
      <w:lvlText w:val="(%8)"/>
      <w:lvlJc w:val="left"/>
      <w:pPr>
        <w:tabs>
          <w:tab w:val="num" w:pos="1406"/>
        </w:tabs>
        <w:ind w:left="1406" w:hanging="624"/>
      </w:pPr>
      <w:rPr>
        <w:rFonts w:hint="default"/>
        <w:b w:val="0"/>
        <w:i w:val="0"/>
        <w:sz w:val="18"/>
      </w:rPr>
    </w:lvl>
    <w:lvl w:ilvl="8">
      <w:start w:val="1"/>
      <w:numFmt w:val="lowerRoman"/>
      <w:pStyle w:val="Heading9"/>
      <w:lvlText w:val="(%9)"/>
      <w:lvlJc w:val="left"/>
      <w:pPr>
        <w:tabs>
          <w:tab w:val="num" w:pos="2030"/>
        </w:tabs>
        <w:ind w:left="2030" w:hanging="624"/>
      </w:pPr>
      <w:rPr>
        <w:rFonts w:hint="default"/>
        <w:b w:val="0"/>
        <w:i w:val="0"/>
        <w:sz w:val="18"/>
      </w:rPr>
    </w:lvl>
  </w:abstractNum>
  <w:abstractNum w:abstractNumId="10" w15:restartNumberingAfterBreak="0">
    <w:nsid w:val="20E07680"/>
    <w:multiLevelType w:val="multilevel"/>
    <w:tmpl w:val="0809001D"/>
    <w:name w:val="H1toH6Ashurst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23163704"/>
    <w:multiLevelType w:val="hybridMultilevel"/>
    <w:tmpl w:val="8FCACC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4020EA1"/>
    <w:multiLevelType w:val="multilevel"/>
    <w:tmpl w:val="AC269E90"/>
    <w:lvl w:ilvl="0">
      <w:start w:val="1"/>
      <w:numFmt w:val="decimal"/>
      <w:suff w:val="nothing"/>
      <w:lvlText w:val="%1."/>
      <w:lvlJc w:val="left"/>
      <w:pPr>
        <w:ind w:left="0" w:firstLine="0"/>
      </w:pPr>
      <w:rPr>
        <w:rFonts w:hint="default"/>
        <w:b w:val="0"/>
        <w:i w:val="0"/>
        <w:sz w:val="18"/>
      </w:rPr>
    </w:lvl>
    <w:lvl w:ilvl="1">
      <w:start w:val="1"/>
      <w:numFmt w:val="decimal"/>
      <w:lvlRestart w:val="0"/>
      <w:suff w:val="nothing"/>
      <w:lvlText w:val="%1.%2"/>
      <w:lvlJc w:val="left"/>
      <w:pPr>
        <w:ind w:left="0" w:firstLine="0"/>
      </w:pPr>
      <w:rPr>
        <w:rFonts w:hint="default"/>
        <w:b w:val="0"/>
        <w:i w:val="0"/>
        <w:sz w:val="18"/>
        <w:szCs w:val="18"/>
      </w:rPr>
    </w:lvl>
    <w:lvl w:ilvl="2">
      <w:start w:val="1"/>
      <w:numFmt w:val="none"/>
      <w:lvlRestart w:val="0"/>
      <w:suff w:val="nothing"/>
      <w:lvlText w:val=""/>
      <w:lvlJc w:val="left"/>
      <w:pPr>
        <w:ind w:left="0" w:firstLine="0"/>
      </w:pPr>
      <w:rPr>
        <w:rFonts w:hint="default"/>
        <w:b w:val="0"/>
        <w:i w:val="0"/>
        <w:sz w:val="18"/>
        <w:szCs w:val="18"/>
      </w:rPr>
    </w:lvl>
    <w:lvl w:ilvl="3">
      <w:numFmt w:val="none"/>
      <w:lvlRestart w:val="0"/>
      <w:suff w:val="nothing"/>
      <w:lvlText w:val=""/>
      <w:lvlJc w:val="left"/>
      <w:pPr>
        <w:ind w:left="0" w:firstLine="0"/>
      </w:pPr>
      <w:rPr>
        <w:rFonts w:hint="default"/>
        <w:b w:val="0"/>
        <w:i w:val="0"/>
        <w:sz w:val="18"/>
        <w:szCs w:val="18"/>
      </w:rPr>
    </w:lvl>
    <w:lvl w:ilvl="4">
      <w:numFmt w:val="none"/>
      <w:lvlRestart w:val="0"/>
      <w:suff w:val="nothing"/>
      <w:lvlText w:val=""/>
      <w:lvlJc w:val="left"/>
      <w:pPr>
        <w:ind w:left="0" w:firstLine="0"/>
      </w:pPr>
      <w:rPr>
        <w:rFonts w:hint="default"/>
        <w:b w:val="0"/>
        <w:i w:val="0"/>
        <w:sz w:val="18"/>
        <w:szCs w:val="18"/>
      </w:rPr>
    </w:lvl>
    <w:lvl w:ilvl="5">
      <w:numFmt w:val="none"/>
      <w:lvlRestart w:val="0"/>
      <w:suff w:val="nothing"/>
      <w:lvlText w:val=""/>
      <w:lvlJc w:val="left"/>
      <w:pPr>
        <w:ind w:left="0" w:firstLine="0"/>
      </w:pPr>
      <w:rPr>
        <w:rFonts w:hint="default"/>
        <w:b w:val="0"/>
        <w:i w:val="0"/>
        <w:sz w:val="18"/>
        <w:szCs w:val="18"/>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13" w15:restartNumberingAfterBreak="0">
    <w:nsid w:val="25711A1A"/>
    <w:multiLevelType w:val="multilevel"/>
    <w:tmpl w:val="0809001D"/>
    <w:name w:val="AltH1toH6Ashurst5"/>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27582641"/>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29EA3829"/>
    <w:multiLevelType w:val="multilevel"/>
    <w:tmpl w:val="07BE7142"/>
    <w:name w:val="SH1toSH6Ashurst"/>
    <w:lvl w:ilvl="0">
      <w:start w:val="1"/>
      <w:numFmt w:val="decimal"/>
      <w:pStyle w:val="SH1Ashurst"/>
      <w:lvlText w:val="%1."/>
      <w:lvlJc w:val="left"/>
      <w:pPr>
        <w:tabs>
          <w:tab w:val="num" w:pos="782"/>
        </w:tabs>
        <w:ind w:left="782" w:hanging="782"/>
      </w:pPr>
      <w:rPr>
        <w:rFonts w:hint="default"/>
        <w:b w:val="0"/>
        <w:i w:val="0"/>
        <w:sz w:val="18"/>
      </w:rPr>
    </w:lvl>
    <w:lvl w:ilvl="1">
      <w:start w:val="1"/>
      <w:numFmt w:val="decimal"/>
      <w:pStyle w:val="SH2Ashurst"/>
      <w:lvlText w:val="%1.%2"/>
      <w:lvlJc w:val="left"/>
      <w:pPr>
        <w:tabs>
          <w:tab w:val="num" w:pos="782"/>
        </w:tabs>
        <w:ind w:left="782" w:hanging="782"/>
      </w:pPr>
      <w:rPr>
        <w:rFonts w:hint="default"/>
        <w:b w:val="0"/>
        <w:i w:val="0"/>
        <w:sz w:val="18"/>
        <w:szCs w:val="18"/>
        <w:u w:val="none"/>
      </w:rPr>
    </w:lvl>
    <w:lvl w:ilvl="2">
      <w:start w:val="1"/>
      <w:numFmt w:val="lowerLetter"/>
      <w:pStyle w:val="SH3Ashurst"/>
      <w:lvlText w:val="(%3)"/>
      <w:lvlJc w:val="left"/>
      <w:pPr>
        <w:tabs>
          <w:tab w:val="num" w:pos="1406"/>
        </w:tabs>
        <w:ind w:left="1406" w:hanging="624"/>
      </w:pPr>
      <w:rPr>
        <w:rFonts w:hint="default"/>
        <w:b w:val="0"/>
        <w:i w:val="0"/>
        <w:caps w:val="0"/>
        <w:smallCaps w:val="0"/>
        <w:sz w:val="18"/>
        <w:u w:val="none"/>
      </w:rPr>
    </w:lvl>
    <w:lvl w:ilvl="3">
      <w:start w:val="1"/>
      <w:numFmt w:val="lowerRoman"/>
      <w:pStyle w:val="SH4Ashurst"/>
      <w:lvlText w:val="(%4)"/>
      <w:lvlJc w:val="left"/>
      <w:pPr>
        <w:tabs>
          <w:tab w:val="num" w:pos="2030"/>
        </w:tabs>
        <w:ind w:left="2030" w:hanging="624"/>
      </w:pPr>
      <w:rPr>
        <w:rFonts w:hint="default"/>
        <w:b w:val="0"/>
        <w:i w:val="0"/>
        <w:caps w:val="0"/>
        <w:smallCaps w:val="0"/>
        <w:sz w:val="18"/>
        <w:u w:val="none"/>
      </w:rPr>
    </w:lvl>
    <w:lvl w:ilvl="4">
      <w:start w:val="1"/>
      <w:numFmt w:val="upperLetter"/>
      <w:pStyle w:val="SH5Ashurst"/>
      <w:lvlText w:val="(%5)"/>
      <w:lvlJc w:val="left"/>
      <w:pPr>
        <w:tabs>
          <w:tab w:val="num" w:pos="2653"/>
        </w:tabs>
        <w:ind w:left="2653" w:hanging="623"/>
      </w:pPr>
      <w:rPr>
        <w:rFonts w:hint="default"/>
        <w:b w:val="0"/>
        <w:i w:val="0"/>
        <w:caps/>
        <w:sz w:val="18"/>
        <w:u w:val="none"/>
      </w:rPr>
    </w:lvl>
    <w:lvl w:ilvl="5">
      <w:start w:val="27"/>
      <w:numFmt w:val="none"/>
      <w:lvlText w:val=""/>
      <w:lvlJc w:val="left"/>
      <w:pPr>
        <w:tabs>
          <w:tab w:val="num" w:pos="0"/>
        </w:tabs>
        <w:ind w:left="0" w:firstLine="0"/>
      </w:pPr>
      <w:rPr>
        <w:rFonts w:hint="default"/>
        <w:b w:val="0"/>
        <w:i w:val="0"/>
        <w:caps w:val="0"/>
        <w:sz w:val="18"/>
        <w:szCs w:val="18"/>
      </w:rPr>
    </w:lvl>
    <w:lvl w:ilvl="6">
      <w:start w:val="1"/>
      <w:numFmt w:val="none"/>
      <w:suff w:val="nothing"/>
      <w:lvlText w:val=""/>
      <w:lvlJc w:val="left"/>
      <w:pPr>
        <w:ind w:left="0" w:firstLine="0"/>
      </w:pPr>
      <w:rPr>
        <w:rFonts w:ascii="Times New Roman" w:hAnsi="Times New Roman" w:hint="default"/>
        <w:b w:val="0"/>
        <w:i w:val="0"/>
      </w:rPr>
    </w:lvl>
    <w:lvl w:ilvl="7">
      <w:start w:val="1"/>
      <w:numFmt w:val="none"/>
      <w:suff w:val="nothing"/>
      <w:lvlText w:val=""/>
      <w:lvlJc w:val="left"/>
      <w:pPr>
        <w:ind w:left="0" w:firstLine="0"/>
      </w:pPr>
      <w:rPr>
        <w:rFonts w:ascii="Times New Roman" w:hAnsi="Times New Roman" w:hint="default"/>
        <w:b w:val="0"/>
        <w:i w:val="0"/>
      </w:rPr>
    </w:lvl>
    <w:lvl w:ilvl="8">
      <w:start w:val="1"/>
      <w:numFmt w:val="none"/>
      <w:suff w:val="nothing"/>
      <w:lvlText w:val=""/>
      <w:lvlJc w:val="left"/>
      <w:pPr>
        <w:ind w:left="0" w:firstLine="0"/>
      </w:pPr>
      <w:rPr>
        <w:rFonts w:ascii="Times New Roman" w:hAnsi="Times New Roman" w:hint="default"/>
        <w:b w:val="0"/>
        <w:i w:val="0"/>
      </w:rPr>
    </w:lvl>
  </w:abstractNum>
  <w:abstractNum w:abstractNumId="16" w15:restartNumberingAfterBreak="0">
    <w:nsid w:val="2A523641"/>
    <w:multiLevelType w:val="multilevel"/>
    <w:tmpl w:val="0809001D"/>
    <w:name w:val="AltH1toH6Ashurst3"/>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2B70236B"/>
    <w:multiLevelType w:val="multilevel"/>
    <w:tmpl w:val="0809001D"/>
    <w:name w:val="H1toH6Ashurst4"/>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302E0DF5"/>
    <w:multiLevelType w:val="multilevel"/>
    <w:tmpl w:val="6018EBCE"/>
    <w:name w:val="WW8Num37"/>
    <w:lvl w:ilvl="0">
      <w:start w:val="1"/>
      <w:numFmt w:val="upperRoman"/>
      <w:pStyle w:val="AltRecitalsAshurst"/>
      <w:lvlText w:val="%1."/>
      <w:lvlJc w:val="left"/>
      <w:pPr>
        <w:tabs>
          <w:tab w:val="num" w:pos="782"/>
        </w:tabs>
        <w:ind w:left="782" w:hanging="782"/>
      </w:pPr>
      <w:rPr>
        <w:rFonts w:hint="default"/>
        <w:b w:val="0"/>
        <w:i w:val="0"/>
        <w:sz w:val="18"/>
        <w:szCs w:val="18"/>
      </w:rPr>
    </w:lvl>
    <w:lvl w:ilvl="1">
      <w:numFmt w:val="none"/>
      <w:lvlText w:val=""/>
      <w:lvlJc w:val="left"/>
      <w:pPr>
        <w:tabs>
          <w:tab w:val="num" w:pos="-31680"/>
        </w:tabs>
        <w:ind w:left="0" w:firstLine="0"/>
      </w:pPr>
      <w:rPr>
        <w:rFonts w:hint="default"/>
        <w:b w:val="0"/>
        <w:i w:val="0"/>
        <w:sz w:val="18"/>
        <w:szCs w:val="18"/>
      </w:rPr>
    </w:lvl>
    <w:lvl w:ilvl="2">
      <w:start w:val="1"/>
      <w:numFmt w:val="none"/>
      <w:lvlText w:val=""/>
      <w:lvlJc w:val="left"/>
      <w:pPr>
        <w:tabs>
          <w:tab w:val="num" w:pos="0"/>
        </w:tabs>
        <w:ind w:left="0" w:firstLine="0"/>
      </w:pPr>
      <w:rPr>
        <w:rFonts w:hint="default"/>
        <w:b w:val="0"/>
        <w:i w:val="0"/>
        <w:sz w:val="18"/>
      </w:rPr>
    </w:lvl>
    <w:lvl w:ilvl="3">
      <w:start w:val="1"/>
      <w:numFmt w:val="none"/>
      <w:lvlText w:val=""/>
      <w:lvlJc w:val="left"/>
      <w:pPr>
        <w:tabs>
          <w:tab w:val="num" w:pos="0"/>
        </w:tabs>
        <w:ind w:left="0" w:firstLine="0"/>
      </w:pPr>
      <w:rPr>
        <w:rFonts w:hint="default"/>
        <w:b w:val="0"/>
        <w:i w:val="0"/>
        <w:sz w:val="18"/>
        <w:szCs w:val="18"/>
      </w:rPr>
    </w:lvl>
    <w:lvl w:ilvl="4">
      <w:start w:val="1"/>
      <w:numFmt w:val="none"/>
      <w:lvlText w:val=""/>
      <w:lvlJc w:val="left"/>
      <w:pPr>
        <w:tabs>
          <w:tab w:val="num" w:pos="0"/>
        </w:tabs>
        <w:ind w:left="0" w:firstLine="0"/>
      </w:pPr>
      <w:rPr>
        <w:rFonts w:hint="default"/>
        <w:b w:val="0"/>
        <w:i w:val="0"/>
        <w:sz w:val="18"/>
        <w:szCs w:val="18"/>
      </w:rPr>
    </w:lvl>
    <w:lvl w:ilvl="5">
      <w:start w:val="27"/>
      <w:numFmt w:val="none"/>
      <w:lvlText w:val=""/>
      <w:lvlJc w:val="left"/>
      <w:pPr>
        <w:tabs>
          <w:tab w:val="num" w:pos="0"/>
        </w:tabs>
        <w:ind w:left="0" w:firstLine="0"/>
      </w:pPr>
      <w:rPr>
        <w:rFonts w:hint="default"/>
        <w:b w:val="0"/>
        <w:i w:val="0"/>
        <w:sz w:val="18"/>
        <w:szCs w:val="18"/>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9" w15:restartNumberingAfterBreak="0">
    <w:nsid w:val="3076543B"/>
    <w:multiLevelType w:val="multilevel"/>
    <w:tmpl w:val="0809001D"/>
    <w:name w:val="SH1toSH6Ashurst4"/>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31455AB3"/>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37673702"/>
    <w:multiLevelType w:val="multilevel"/>
    <w:tmpl w:val="0809001D"/>
    <w:name w:val="SH1toSH6Ashurst3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3E2557C4"/>
    <w:multiLevelType w:val="multilevel"/>
    <w:tmpl w:val="0809001D"/>
    <w:name w:val="SH1toSH6Ashurst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407F7A8A"/>
    <w:multiLevelType w:val="multilevel"/>
    <w:tmpl w:val="32928FFA"/>
    <w:name w:val="AltSH1toSH6Ashurst"/>
    <w:lvl w:ilvl="0">
      <w:start w:val="1"/>
      <w:numFmt w:val="decimal"/>
      <w:pStyle w:val="AltSH1Ashurst"/>
      <w:lvlText w:val="%1."/>
      <w:lvlJc w:val="left"/>
      <w:pPr>
        <w:tabs>
          <w:tab w:val="num" w:pos="782"/>
        </w:tabs>
        <w:ind w:left="782" w:hanging="782"/>
      </w:pPr>
      <w:rPr>
        <w:rFonts w:hint="default"/>
        <w:b w:val="0"/>
        <w:i w:val="0"/>
        <w:sz w:val="18"/>
      </w:rPr>
    </w:lvl>
    <w:lvl w:ilvl="1">
      <w:start w:val="1"/>
      <w:numFmt w:val="decimal"/>
      <w:pStyle w:val="AltSH2Ashurst"/>
      <w:lvlText w:val="%1.%2"/>
      <w:lvlJc w:val="left"/>
      <w:pPr>
        <w:tabs>
          <w:tab w:val="num" w:pos="782"/>
        </w:tabs>
        <w:ind w:left="782" w:hanging="782"/>
      </w:pPr>
      <w:rPr>
        <w:rFonts w:hint="default"/>
        <w:b w:val="0"/>
        <w:i w:val="0"/>
        <w:sz w:val="18"/>
        <w:szCs w:val="18"/>
        <w:u w:val="none"/>
      </w:rPr>
    </w:lvl>
    <w:lvl w:ilvl="2">
      <w:start w:val="1"/>
      <w:numFmt w:val="lowerLetter"/>
      <w:pStyle w:val="AltSH3Ashurst"/>
      <w:lvlText w:val="(%3)"/>
      <w:lvlJc w:val="left"/>
      <w:pPr>
        <w:tabs>
          <w:tab w:val="num" w:pos="1406"/>
        </w:tabs>
        <w:ind w:left="1406" w:hanging="624"/>
      </w:pPr>
      <w:rPr>
        <w:rFonts w:hint="default"/>
        <w:b w:val="0"/>
        <w:i w:val="0"/>
        <w:caps w:val="0"/>
        <w:smallCaps w:val="0"/>
        <w:sz w:val="18"/>
        <w:u w:val="none"/>
      </w:rPr>
    </w:lvl>
    <w:lvl w:ilvl="3">
      <w:start w:val="1"/>
      <w:numFmt w:val="lowerRoman"/>
      <w:pStyle w:val="AltSH4Ashurst"/>
      <w:lvlText w:val="(%4)"/>
      <w:lvlJc w:val="left"/>
      <w:pPr>
        <w:tabs>
          <w:tab w:val="num" w:pos="2030"/>
        </w:tabs>
        <w:ind w:left="2030" w:hanging="624"/>
      </w:pPr>
      <w:rPr>
        <w:rFonts w:hint="default"/>
        <w:b w:val="0"/>
        <w:i w:val="0"/>
        <w:caps w:val="0"/>
        <w:smallCaps w:val="0"/>
        <w:sz w:val="18"/>
        <w:u w:val="none"/>
      </w:rPr>
    </w:lvl>
    <w:lvl w:ilvl="4">
      <w:start w:val="1"/>
      <w:numFmt w:val="upperLetter"/>
      <w:pStyle w:val="AltSH5Ashurst"/>
      <w:lvlText w:val="(%5)"/>
      <w:lvlJc w:val="left"/>
      <w:pPr>
        <w:tabs>
          <w:tab w:val="num" w:pos="2653"/>
        </w:tabs>
        <w:ind w:left="2653" w:hanging="623"/>
      </w:pPr>
      <w:rPr>
        <w:rFonts w:hint="default"/>
        <w:b w:val="0"/>
        <w:i w:val="0"/>
        <w:caps/>
        <w:sz w:val="18"/>
        <w:u w:val="none"/>
      </w:rPr>
    </w:lvl>
    <w:lvl w:ilvl="5">
      <w:start w:val="27"/>
      <w:numFmt w:val="none"/>
      <w:lvlText w:val=""/>
      <w:lvlJc w:val="left"/>
      <w:pPr>
        <w:tabs>
          <w:tab w:val="num" w:pos="0"/>
        </w:tabs>
        <w:ind w:left="0" w:firstLine="0"/>
      </w:pPr>
      <w:rPr>
        <w:rFonts w:hint="default"/>
        <w:b w:val="0"/>
        <w:i w:val="0"/>
        <w:caps w:val="0"/>
        <w:sz w:val="18"/>
        <w:szCs w:val="18"/>
      </w:rPr>
    </w:lvl>
    <w:lvl w:ilvl="6">
      <w:start w:val="1"/>
      <w:numFmt w:val="none"/>
      <w:suff w:val="nothing"/>
      <w:lvlText w:val=""/>
      <w:lvlJc w:val="left"/>
      <w:pPr>
        <w:ind w:left="0" w:firstLine="0"/>
      </w:pPr>
      <w:rPr>
        <w:rFonts w:ascii="Times New Roman" w:hAnsi="Times New Roman" w:hint="default"/>
        <w:b w:val="0"/>
        <w:i w:val="0"/>
      </w:rPr>
    </w:lvl>
    <w:lvl w:ilvl="7">
      <w:start w:val="1"/>
      <w:numFmt w:val="none"/>
      <w:suff w:val="nothing"/>
      <w:lvlText w:val=""/>
      <w:lvlJc w:val="left"/>
      <w:pPr>
        <w:ind w:left="0" w:firstLine="0"/>
      </w:pPr>
      <w:rPr>
        <w:rFonts w:ascii="Times New Roman" w:hAnsi="Times New Roman" w:hint="default"/>
        <w:b w:val="0"/>
        <w:i w:val="0"/>
      </w:rPr>
    </w:lvl>
    <w:lvl w:ilvl="8">
      <w:start w:val="1"/>
      <w:numFmt w:val="none"/>
      <w:suff w:val="nothing"/>
      <w:lvlText w:val=""/>
      <w:lvlJc w:val="left"/>
      <w:pPr>
        <w:ind w:left="0" w:firstLine="0"/>
      </w:pPr>
      <w:rPr>
        <w:rFonts w:ascii="Times New Roman" w:hAnsi="Times New Roman" w:hint="default"/>
        <w:b w:val="0"/>
        <w:i w:val="0"/>
      </w:rPr>
    </w:lvl>
  </w:abstractNum>
  <w:abstractNum w:abstractNumId="24" w15:restartNumberingAfterBreak="0">
    <w:nsid w:val="41AE6517"/>
    <w:multiLevelType w:val="multilevel"/>
    <w:tmpl w:val="773C9390"/>
    <w:lvl w:ilvl="0">
      <w:start w:val="1"/>
      <w:numFmt w:val="upperLetter"/>
      <w:pStyle w:val="RecitalsAshurst"/>
      <w:lvlText w:val="(%1)"/>
      <w:lvlJc w:val="left"/>
      <w:pPr>
        <w:tabs>
          <w:tab w:val="num" w:pos="782"/>
        </w:tabs>
        <w:ind w:left="782" w:hanging="782"/>
      </w:pPr>
      <w:rPr>
        <w:rFonts w:hint="default"/>
        <w:b w:val="0"/>
        <w:i w:val="0"/>
        <w:sz w:val="18"/>
        <w:szCs w:val="18"/>
      </w:rPr>
    </w:lvl>
    <w:lvl w:ilvl="1">
      <w:start w:val="1"/>
      <w:numFmt w:val="none"/>
      <w:lvlText w:val=""/>
      <w:lvlJc w:val="left"/>
      <w:pPr>
        <w:tabs>
          <w:tab w:val="num" w:pos="782"/>
        </w:tabs>
        <w:ind w:left="782" w:hanging="782"/>
      </w:pPr>
      <w:rPr>
        <w:rFonts w:hint="default"/>
        <w:b w:val="0"/>
        <w:i w:val="0"/>
        <w:sz w:val="18"/>
        <w:szCs w:val="18"/>
      </w:rPr>
    </w:lvl>
    <w:lvl w:ilvl="2">
      <w:start w:val="1"/>
      <w:numFmt w:val="none"/>
      <w:lvlText w:val=""/>
      <w:lvlJc w:val="left"/>
      <w:pPr>
        <w:tabs>
          <w:tab w:val="num" w:pos="1406"/>
        </w:tabs>
        <w:ind w:left="1406" w:hanging="624"/>
      </w:pPr>
      <w:rPr>
        <w:rFonts w:hint="default"/>
        <w:b w:val="0"/>
        <w:i w:val="0"/>
        <w:sz w:val="18"/>
        <w:szCs w:val="18"/>
      </w:rPr>
    </w:lvl>
    <w:lvl w:ilvl="3">
      <w:start w:val="1"/>
      <w:numFmt w:val="none"/>
      <w:lvlText w:val=""/>
      <w:lvlJc w:val="left"/>
      <w:pPr>
        <w:tabs>
          <w:tab w:val="num" w:pos="2030"/>
        </w:tabs>
        <w:ind w:left="2030" w:hanging="624"/>
      </w:pPr>
      <w:rPr>
        <w:rFonts w:hint="default"/>
        <w:b w:val="0"/>
        <w:i w:val="0"/>
        <w:sz w:val="18"/>
        <w:szCs w:val="18"/>
      </w:rPr>
    </w:lvl>
    <w:lvl w:ilvl="4">
      <w:start w:val="1"/>
      <w:numFmt w:val="none"/>
      <w:lvlText w:val=""/>
      <w:lvlJc w:val="left"/>
      <w:pPr>
        <w:tabs>
          <w:tab w:val="num" w:pos="2653"/>
        </w:tabs>
        <w:ind w:left="2653" w:hanging="623"/>
      </w:pPr>
      <w:rPr>
        <w:rFonts w:hint="default"/>
        <w:b w:val="0"/>
        <w:i w:val="0"/>
        <w:sz w:val="18"/>
        <w:szCs w:val="18"/>
      </w:rPr>
    </w:lvl>
    <w:lvl w:ilvl="5">
      <w:start w:val="27"/>
      <w:numFmt w:val="none"/>
      <w:lvlText w:val=""/>
      <w:lvlJc w:val="left"/>
      <w:pPr>
        <w:tabs>
          <w:tab w:val="num" w:pos="3277"/>
        </w:tabs>
        <w:ind w:left="3277" w:hanging="624"/>
      </w:pPr>
      <w:rPr>
        <w:rFonts w:hint="default"/>
        <w:b w:val="0"/>
        <w:i w:val="0"/>
        <w:sz w:val="18"/>
        <w:szCs w:val="18"/>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Restart w:val="0"/>
      <w:lvlText w:val=""/>
      <w:lvlJc w:val="left"/>
      <w:pPr>
        <w:tabs>
          <w:tab w:val="num" w:pos="0"/>
        </w:tabs>
        <w:ind w:left="0" w:firstLine="0"/>
      </w:pPr>
      <w:rPr>
        <w:rFonts w:hint="default"/>
      </w:rPr>
    </w:lvl>
  </w:abstractNum>
  <w:abstractNum w:abstractNumId="25" w15:restartNumberingAfterBreak="0">
    <w:nsid w:val="4ED1674E"/>
    <w:multiLevelType w:val="multilevel"/>
    <w:tmpl w:val="398ACB1E"/>
    <w:lvl w:ilvl="0">
      <w:start w:val="1"/>
      <w:numFmt w:val="none"/>
      <w:pStyle w:val="DefinitionsClauseAshurst"/>
      <w:suff w:val="nothing"/>
      <w:lvlText w:val=""/>
      <w:lvlJc w:val="left"/>
      <w:pPr>
        <w:ind w:left="782" w:firstLine="0"/>
      </w:pPr>
      <w:rPr>
        <w:rFonts w:ascii="Verdana" w:hAnsi="Verdana" w:hint="default"/>
        <w:b w:val="0"/>
        <w:i w:val="0"/>
        <w:sz w:val="18"/>
        <w:szCs w:val="18"/>
      </w:rPr>
    </w:lvl>
    <w:lvl w:ilvl="1">
      <w:start w:val="1"/>
      <w:numFmt w:val="lowerLetter"/>
      <w:pStyle w:val="DefinitionsAshurst"/>
      <w:lvlText w:val="(%2)"/>
      <w:lvlJc w:val="left"/>
      <w:pPr>
        <w:tabs>
          <w:tab w:val="num" w:pos="1406"/>
        </w:tabs>
        <w:ind w:left="1406" w:hanging="624"/>
      </w:pPr>
      <w:rPr>
        <w:rFonts w:ascii="Verdana" w:hAnsi="Verdana" w:hint="default"/>
        <w:b w:val="0"/>
        <w:i w:val="0"/>
        <w:sz w:val="18"/>
        <w:szCs w:val="18"/>
      </w:rPr>
    </w:lvl>
    <w:lvl w:ilvl="2">
      <w:start w:val="1"/>
      <w:numFmt w:val="lowerRoman"/>
      <w:pStyle w:val="DefSubAshurst"/>
      <w:lvlText w:val="(%3)"/>
      <w:lvlJc w:val="left"/>
      <w:pPr>
        <w:tabs>
          <w:tab w:val="num" w:pos="2030"/>
        </w:tabs>
        <w:ind w:left="2030" w:hanging="624"/>
      </w:pPr>
      <w:rPr>
        <w:rFonts w:hint="default"/>
      </w:rPr>
    </w:lvl>
    <w:lvl w:ilvl="3">
      <w:start w:val="1"/>
      <w:numFmt w:val="none"/>
      <w:suff w:val="nothing"/>
      <w:lvlText w:val=""/>
      <w:lvlJc w:val="left"/>
      <w:pPr>
        <w:ind w:left="1564" w:firstLine="0"/>
      </w:pPr>
      <w:rPr>
        <w:rFonts w:hint="default"/>
      </w:rPr>
    </w:lvl>
    <w:lvl w:ilvl="4">
      <w:start w:val="1"/>
      <w:numFmt w:val="none"/>
      <w:suff w:val="nothing"/>
      <w:lvlText w:val=""/>
      <w:lvlJc w:val="left"/>
      <w:pPr>
        <w:ind w:left="1564" w:firstLine="0"/>
      </w:pPr>
      <w:rPr>
        <w:rFonts w:hint="default"/>
      </w:rPr>
    </w:lvl>
    <w:lvl w:ilvl="5">
      <w:start w:val="1"/>
      <w:numFmt w:val="none"/>
      <w:suff w:val="nothing"/>
      <w:lvlText w:val=""/>
      <w:lvlJc w:val="left"/>
      <w:pPr>
        <w:ind w:left="1564" w:firstLine="0"/>
      </w:pPr>
      <w:rPr>
        <w:rFonts w:hint="default"/>
      </w:rPr>
    </w:lvl>
    <w:lvl w:ilvl="6">
      <w:start w:val="1"/>
      <w:numFmt w:val="none"/>
      <w:suff w:val="nothing"/>
      <w:lvlText w:val=""/>
      <w:lvlJc w:val="left"/>
      <w:pPr>
        <w:ind w:left="1564" w:firstLine="0"/>
      </w:pPr>
      <w:rPr>
        <w:rFonts w:hint="default"/>
      </w:rPr>
    </w:lvl>
    <w:lvl w:ilvl="7">
      <w:start w:val="1"/>
      <w:numFmt w:val="none"/>
      <w:suff w:val="nothing"/>
      <w:lvlText w:val=""/>
      <w:lvlJc w:val="left"/>
      <w:pPr>
        <w:ind w:left="1564" w:firstLine="0"/>
      </w:pPr>
      <w:rPr>
        <w:rFonts w:hint="default"/>
      </w:rPr>
    </w:lvl>
    <w:lvl w:ilvl="8">
      <w:start w:val="1"/>
      <w:numFmt w:val="none"/>
      <w:suff w:val="nothing"/>
      <w:lvlText w:val=""/>
      <w:lvlJc w:val="left"/>
      <w:pPr>
        <w:ind w:left="1564" w:firstLine="0"/>
      </w:pPr>
      <w:rPr>
        <w:rFonts w:hint="default"/>
      </w:rPr>
    </w:lvl>
  </w:abstractNum>
  <w:abstractNum w:abstractNumId="26" w15:restartNumberingAfterBreak="0">
    <w:nsid w:val="4F4B3ADF"/>
    <w:multiLevelType w:val="multilevel"/>
    <w:tmpl w:val="2BD29BB0"/>
    <w:name w:val="H1toH6Ashurst"/>
    <w:lvl w:ilvl="0">
      <w:start w:val="1"/>
      <w:numFmt w:val="decimal"/>
      <w:pStyle w:val="H1Ashurst"/>
      <w:lvlText w:val="%1."/>
      <w:lvlJc w:val="left"/>
      <w:pPr>
        <w:tabs>
          <w:tab w:val="num" w:pos="782"/>
        </w:tabs>
        <w:ind w:left="782" w:hanging="782"/>
      </w:pPr>
      <w:rPr>
        <w:rFonts w:hint="default"/>
        <w:b w:val="0"/>
        <w:i w:val="0"/>
        <w:sz w:val="18"/>
      </w:rPr>
    </w:lvl>
    <w:lvl w:ilvl="1">
      <w:start w:val="1"/>
      <w:numFmt w:val="decimal"/>
      <w:pStyle w:val="H2Ashurst"/>
      <w:lvlText w:val="%1.%2"/>
      <w:lvlJc w:val="left"/>
      <w:pPr>
        <w:tabs>
          <w:tab w:val="num" w:pos="782"/>
        </w:tabs>
        <w:ind w:left="782" w:hanging="782"/>
      </w:pPr>
      <w:rPr>
        <w:rFonts w:hint="default"/>
        <w:b w:val="0"/>
        <w:i w:val="0"/>
        <w:sz w:val="18"/>
        <w:szCs w:val="18"/>
      </w:rPr>
    </w:lvl>
    <w:lvl w:ilvl="2">
      <w:start w:val="1"/>
      <w:numFmt w:val="lowerLetter"/>
      <w:pStyle w:val="H3Ashurst"/>
      <w:lvlText w:val="(%3)"/>
      <w:lvlJc w:val="left"/>
      <w:pPr>
        <w:tabs>
          <w:tab w:val="num" w:pos="1406"/>
        </w:tabs>
        <w:ind w:left="1406" w:hanging="624"/>
      </w:pPr>
      <w:rPr>
        <w:rFonts w:hint="default"/>
        <w:b w:val="0"/>
        <w:i w:val="0"/>
        <w:sz w:val="18"/>
        <w:szCs w:val="18"/>
      </w:rPr>
    </w:lvl>
    <w:lvl w:ilvl="3">
      <w:start w:val="1"/>
      <w:numFmt w:val="lowerRoman"/>
      <w:pStyle w:val="H4Ashurst"/>
      <w:lvlText w:val="(%4)"/>
      <w:lvlJc w:val="left"/>
      <w:pPr>
        <w:tabs>
          <w:tab w:val="num" w:pos="2030"/>
        </w:tabs>
        <w:ind w:left="2030" w:hanging="624"/>
      </w:pPr>
      <w:rPr>
        <w:rFonts w:hint="default"/>
        <w:b w:val="0"/>
        <w:i w:val="0"/>
        <w:sz w:val="18"/>
        <w:szCs w:val="18"/>
      </w:rPr>
    </w:lvl>
    <w:lvl w:ilvl="4">
      <w:start w:val="1"/>
      <w:numFmt w:val="upperLetter"/>
      <w:pStyle w:val="H5Ashurst"/>
      <w:lvlText w:val="(%5)"/>
      <w:lvlJc w:val="left"/>
      <w:pPr>
        <w:tabs>
          <w:tab w:val="num" w:pos="2653"/>
        </w:tabs>
        <w:ind w:left="2653" w:hanging="623"/>
      </w:pPr>
      <w:rPr>
        <w:rFonts w:hint="default"/>
        <w:b w:val="0"/>
        <w:i w:val="0"/>
        <w:sz w:val="18"/>
        <w:szCs w:val="18"/>
      </w:rPr>
    </w:lvl>
    <w:lvl w:ilvl="5">
      <w:start w:val="27"/>
      <w:numFmt w:val="lowerLetter"/>
      <w:pStyle w:val="H6Ashurst"/>
      <w:lvlText w:val="(%6)"/>
      <w:lvlJc w:val="left"/>
      <w:pPr>
        <w:tabs>
          <w:tab w:val="num" w:pos="3277"/>
        </w:tabs>
        <w:ind w:left="3277" w:hanging="624"/>
      </w:pPr>
      <w:rPr>
        <w:rFonts w:hint="default"/>
        <w:b w:val="0"/>
        <w:i w:val="0"/>
        <w:sz w:val="18"/>
        <w:szCs w:val="18"/>
      </w:rPr>
    </w:lvl>
    <w:lvl w:ilvl="6">
      <w:start w:val="1"/>
      <w:numFmt w:val="lowerLetter"/>
      <w:pStyle w:val="H7Ashurst"/>
      <w:lvlText w:val="(%7)"/>
      <w:lvlJc w:val="left"/>
      <w:pPr>
        <w:tabs>
          <w:tab w:val="num" w:pos="3901"/>
        </w:tabs>
        <w:ind w:left="3901" w:hanging="624"/>
      </w:pPr>
      <w:rPr>
        <w:rFonts w:hint="default"/>
      </w:rPr>
    </w:lvl>
    <w:lvl w:ilvl="7">
      <w:start w:val="1"/>
      <w:numFmt w:val="lowerRoman"/>
      <w:pStyle w:val="H8Ashurst"/>
      <w:lvlText w:val="(%8)"/>
      <w:lvlJc w:val="left"/>
      <w:pPr>
        <w:tabs>
          <w:tab w:val="num" w:pos="4525"/>
        </w:tabs>
        <w:ind w:left="4525" w:hanging="624"/>
      </w:pPr>
      <w:rPr>
        <w:rFonts w:hint="default"/>
      </w:rPr>
    </w:lvl>
    <w:lvl w:ilvl="8">
      <w:start w:val="1"/>
      <w:numFmt w:val="none"/>
      <w:lvlText w:val=""/>
      <w:lvlJc w:val="left"/>
      <w:pPr>
        <w:tabs>
          <w:tab w:val="num" w:pos="0"/>
        </w:tabs>
        <w:ind w:left="0" w:firstLine="0"/>
      </w:pPr>
      <w:rPr>
        <w:rFonts w:hint="default"/>
      </w:rPr>
    </w:lvl>
  </w:abstractNum>
  <w:abstractNum w:abstractNumId="27" w15:restartNumberingAfterBreak="0">
    <w:nsid w:val="55334E09"/>
    <w:multiLevelType w:val="multilevel"/>
    <w:tmpl w:val="DC0E8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5B416EC"/>
    <w:multiLevelType w:val="multilevel"/>
    <w:tmpl w:val="F5F2038E"/>
    <w:lvl w:ilvl="0">
      <w:start w:val="1"/>
      <w:numFmt w:val="decimal"/>
      <w:suff w:val="nothing"/>
      <w:lvlText w:val="%1."/>
      <w:lvlJc w:val="left"/>
      <w:pPr>
        <w:ind w:left="0" w:firstLine="0"/>
      </w:pPr>
      <w:rPr>
        <w:rFonts w:hint="default"/>
        <w:b w:val="0"/>
        <w:i w:val="0"/>
        <w:sz w:val="18"/>
      </w:rPr>
    </w:lvl>
    <w:lvl w:ilvl="1">
      <w:start w:val="1"/>
      <w:numFmt w:val="decimal"/>
      <w:suff w:val="nothing"/>
      <w:lvlText w:val="%1.%2"/>
      <w:lvlJc w:val="left"/>
      <w:pPr>
        <w:ind w:left="0" w:firstLine="0"/>
      </w:pPr>
      <w:rPr>
        <w:rFonts w:hint="default"/>
        <w:b w:val="0"/>
        <w:i w:val="0"/>
        <w:sz w:val="18"/>
        <w:szCs w:val="18"/>
      </w:rPr>
    </w:lvl>
    <w:lvl w:ilvl="2">
      <w:start w:val="1"/>
      <w:numFmt w:val="lowerLetter"/>
      <w:lvlRestart w:val="0"/>
      <w:suff w:val="nothing"/>
      <w:lvlText w:val="(%3)"/>
      <w:lvlJc w:val="left"/>
      <w:pPr>
        <w:ind w:left="0" w:firstLine="0"/>
      </w:pPr>
      <w:rPr>
        <w:rFonts w:hint="default"/>
        <w:b w:val="0"/>
        <w:i w:val="0"/>
        <w:sz w:val="18"/>
        <w:szCs w:val="18"/>
      </w:rPr>
    </w:lvl>
    <w:lvl w:ilvl="3">
      <w:start w:val="1"/>
      <w:numFmt w:val="lowerRoman"/>
      <w:lvlRestart w:val="0"/>
      <w:suff w:val="nothing"/>
      <w:lvlText w:val="(%4)"/>
      <w:lvlJc w:val="left"/>
      <w:pPr>
        <w:ind w:left="0" w:firstLine="0"/>
      </w:pPr>
      <w:rPr>
        <w:rFonts w:hint="default"/>
        <w:b w:val="0"/>
        <w:i w:val="0"/>
        <w:sz w:val="18"/>
        <w:szCs w:val="18"/>
      </w:rPr>
    </w:lvl>
    <w:lvl w:ilvl="4">
      <w:start w:val="1"/>
      <w:numFmt w:val="upperLetter"/>
      <w:lvlRestart w:val="0"/>
      <w:suff w:val="nothing"/>
      <w:lvlText w:val="(%5)"/>
      <w:lvlJc w:val="left"/>
      <w:pPr>
        <w:ind w:left="0" w:firstLine="0"/>
      </w:pPr>
      <w:rPr>
        <w:rFonts w:hint="default"/>
        <w:b w:val="0"/>
        <w:i w:val="0"/>
        <w:sz w:val="18"/>
        <w:szCs w:val="18"/>
      </w:rPr>
    </w:lvl>
    <w:lvl w:ilvl="5">
      <w:start w:val="27"/>
      <w:numFmt w:val="lowerLetter"/>
      <w:lvlRestart w:val="0"/>
      <w:suff w:val="nothing"/>
      <w:lvlText w:val="(%6)"/>
      <w:lvlJc w:val="left"/>
      <w:pPr>
        <w:ind w:left="0" w:firstLine="0"/>
      </w:pPr>
      <w:rPr>
        <w:rFonts w:hint="default"/>
        <w:b w:val="0"/>
        <w:i w:val="0"/>
        <w:sz w:val="18"/>
        <w:szCs w:val="18"/>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29" w15:restartNumberingAfterBreak="0">
    <w:nsid w:val="57C67C4B"/>
    <w:multiLevelType w:val="hybridMultilevel"/>
    <w:tmpl w:val="E86E7356"/>
    <w:lvl w:ilvl="0" w:tplc="557E44CE">
      <w:start w:val="1"/>
      <w:numFmt w:val="bullet"/>
      <w:pStyle w:val="Bullet6Ashurst"/>
      <w:lvlText w:val=""/>
      <w:lvlJc w:val="left"/>
      <w:pPr>
        <w:tabs>
          <w:tab w:val="num" w:pos="3901"/>
        </w:tabs>
        <w:ind w:left="3901" w:hanging="624"/>
      </w:pPr>
      <w:rPr>
        <w:rFonts w:ascii="Symbol" w:hAnsi="Symbol" w:hint="default"/>
        <w:b w:val="0"/>
        <w:i w:val="0"/>
        <w:sz w:val="18"/>
        <w:szCs w:val="18"/>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8D77A9B"/>
    <w:multiLevelType w:val="hybridMultilevel"/>
    <w:tmpl w:val="6F441260"/>
    <w:name w:val="WW8Num62"/>
    <w:lvl w:ilvl="0" w:tplc="3AB6A7FA">
      <w:start w:val="1"/>
      <w:numFmt w:val="lowerRoman"/>
      <w:lvlText w:val="(%1)"/>
      <w:lvlJc w:val="left"/>
      <w:pPr>
        <w:tabs>
          <w:tab w:val="num" w:pos="2030"/>
        </w:tabs>
        <w:ind w:left="2030" w:hanging="624"/>
      </w:pPr>
      <w:rPr>
        <w:rFonts w:hint="default"/>
        <w:b w:val="0"/>
        <w:i w:val="0"/>
        <w:sz w:val="18"/>
        <w:szCs w:val="18"/>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1" w15:restartNumberingAfterBreak="0">
    <w:nsid w:val="590A2B1B"/>
    <w:multiLevelType w:val="multilevel"/>
    <w:tmpl w:val="0809001D"/>
    <w:name w:val="AltSH1toSH6Ashurst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15:restartNumberingAfterBreak="0">
    <w:nsid w:val="593047D9"/>
    <w:multiLevelType w:val="hybridMultilevel"/>
    <w:tmpl w:val="622A5644"/>
    <w:lvl w:ilvl="0" w:tplc="5E0C4C88">
      <w:start w:val="1"/>
      <w:numFmt w:val="bullet"/>
      <w:pStyle w:val="BulletAshurst"/>
      <w:lvlText w:val=""/>
      <w:lvlJc w:val="left"/>
      <w:pPr>
        <w:tabs>
          <w:tab w:val="num" w:pos="782"/>
        </w:tabs>
        <w:ind w:left="782" w:hanging="782"/>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9DA3660"/>
    <w:multiLevelType w:val="multilevel"/>
    <w:tmpl w:val="0809001D"/>
    <w:name w:val="WW8Num37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4" w15:restartNumberingAfterBreak="0">
    <w:nsid w:val="5DC7547A"/>
    <w:multiLevelType w:val="multilevel"/>
    <w:tmpl w:val="0809001D"/>
    <w:name w:val="AltSH1toSH6Ashurst3"/>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5" w15:restartNumberingAfterBreak="0">
    <w:nsid w:val="67F16158"/>
    <w:multiLevelType w:val="hybridMultilevel"/>
    <w:tmpl w:val="63ECDCCE"/>
    <w:lvl w:ilvl="0" w:tplc="1550EC4A">
      <w:start w:val="1"/>
      <w:numFmt w:val="bullet"/>
      <w:pStyle w:val="Bullet3Ashurst"/>
      <w:lvlText w:val=""/>
      <w:lvlJc w:val="left"/>
      <w:pPr>
        <w:tabs>
          <w:tab w:val="num" w:pos="2030"/>
        </w:tabs>
        <w:ind w:left="2030" w:hanging="624"/>
      </w:pPr>
      <w:rPr>
        <w:rFonts w:ascii="Symbol" w:hAnsi="Symbol" w:hint="default"/>
        <w:b w:val="0"/>
        <w:i w:val="0"/>
        <w:sz w:val="18"/>
        <w:szCs w:val="18"/>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9246705"/>
    <w:multiLevelType w:val="multilevel"/>
    <w:tmpl w:val="0A907C1E"/>
    <w:lvl w:ilvl="0">
      <w:start w:val="1"/>
      <w:numFmt w:val="decimal"/>
      <w:pStyle w:val="TableNum1Ashurst"/>
      <w:suff w:val="nothing"/>
      <w:lvlText w:val="%1."/>
      <w:lvlJc w:val="left"/>
      <w:pPr>
        <w:ind w:left="0" w:firstLine="0"/>
      </w:pPr>
      <w:rPr>
        <w:rFonts w:hint="default"/>
        <w:b w:val="0"/>
        <w:i w:val="0"/>
        <w:sz w:val="18"/>
      </w:rPr>
    </w:lvl>
    <w:lvl w:ilvl="1">
      <w:start w:val="1"/>
      <w:numFmt w:val="decimal"/>
      <w:pStyle w:val="TableNum2Ashurst"/>
      <w:suff w:val="nothing"/>
      <w:lvlText w:val="%1.%2"/>
      <w:lvlJc w:val="left"/>
      <w:pPr>
        <w:ind w:left="0" w:firstLine="0"/>
      </w:pPr>
      <w:rPr>
        <w:rFonts w:hint="default"/>
        <w:b w:val="0"/>
        <w:i w:val="0"/>
        <w:sz w:val="18"/>
        <w:szCs w:val="18"/>
      </w:rPr>
    </w:lvl>
    <w:lvl w:ilvl="2">
      <w:start w:val="1"/>
      <w:numFmt w:val="lowerLetter"/>
      <w:pStyle w:val="TableNum3Ashurst"/>
      <w:suff w:val="nothing"/>
      <w:lvlText w:val="(%3)"/>
      <w:lvlJc w:val="left"/>
      <w:pPr>
        <w:ind w:left="0" w:firstLine="0"/>
      </w:pPr>
      <w:rPr>
        <w:rFonts w:hint="default"/>
        <w:b w:val="0"/>
        <w:i w:val="0"/>
        <w:sz w:val="18"/>
        <w:szCs w:val="18"/>
      </w:rPr>
    </w:lvl>
    <w:lvl w:ilvl="3">
      <w:start w:val="1"/>
      <w:numFmt w:val="lowerRoman"/>
      <w:pStyle w:val="TableNum4Ashurst"/>
      <w:suff w:val="nothing"/>
      <w:lvlText w:val="(%4)"/>
      <w:lvlJc w:val="left"/>
      <w:pPr>
        <w:ind w:left="0" w:firstLine="0"/>
      </w:pPr>
      <w:rPr>
        <w:rFonts w:hint="default"/>
        <w:b w:val="0"/>
        <w:i w:val="0"/>
        <w:sz w:val="18"/>
        <w:szCs w:val="18"/>
      </w:rPr>
    </w:lvl>
    <w:lvl w:ilvl="4">
      <w:start w:val="1"/>
      <w:numFmt w:val="upperLetter"/>
      <w:pStyle w:val="TableNum5Ashurst"/>
      <w:suff w:val="nothing"/>
      <w:lvlText w:val="(%5)"/>
      <w:lvlJc w:val="left"/>
      <w:pPr>
        <w:ind w:left="0" w:firstLine="0"/>
      </w:pPr>
      <w:rPr>
        <w:rFonts w:hint="default"/>
        <w:b w:val="0"/>
        <w:i w:val="0"/>
        <w:sz w:val="18"/>
        <w:szCs w:val="18"/>
      </w:rPr>
    </w:lvl>
    <w:lvl w:ilvl="5">
      <w:start w:val="27"/>
      <w:numFmt w:val="lowerLetter"/>
      <w:pStyle w:val="TableNum6Ashurst"/>
      <w:suff w:val="nothing"/>
      <w:lvlText w:val="(%6)"/>
      <w:lvlJc w:val="left"/>
      <w:pPr>
        <w:ind w:left="0" w:firstLine="0"/>
      </w:pPr>
      <w:rPr>
        <w:rFonts w:hint="default"/>
        <w:b w:val="0"/>
        <w:i w:val="0"/>
        <w:sz w:val="18"/>
        <w:szCs w:val="18"/>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37" w15:restartNumberingAfterBreak="0">
    <w:nsid w:val="69F474E1"/>
    <w:multiLevelType w:val="multilevel"/>
    <w:tmpl w:val="0809001D"/>
    <w:name w:val="H1toH6Ashurst3"/>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8" w15:restartNumberingAfterBreak="0">
    <w:nsid w:val="6D13513A"/>
    <w:multiLevelType w:val="hybridMultilevel"/>
    <w:tmpl w:val="F8AEB498"/>
    <w:lvl w:ilvl="0" w:tplc="2D28D9C6">
      <w:start w:val="1"/>
      <w:numFmt w:val="bullet"/>
      <w:pStyle w:val="Bullet4Ashurst"/>
      <w:lvlText w:val=""/>
      <w:lvlJc w:val="left"/>
      <w:pPr>
        <w:tabs>
          <w:tab w:val="num" w:pos="2654"/>
        </w:tabs>
        <w:ind w:left="2654" w:hanging="624"/>
      </w:pPr>
      <w:rPr>
        <w:rFonts w:ascii="Symbol" w:hAnsi="Symbol" w:hint="default"/>
        <w:b w:val="0"/>
        <w:i w:val="0"/>
        <w:sz w:val="18"/>
        <w:szCs w:val="18"/>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E7E2D67"/>
    <w:multiLevelType w:val="multilevel"/>
    <w:tmpl w:val="33C45CB8"/>
    <w:lvl w:ilvl="0">
      <w:start w:val="1"/>
      <w:numFmt w:val="decimal"/>
      <w:suff w:val="nothing"/>
      <w:lvlText w:val="%1."/>
      <w:lvlJc w:val="left"/>
      <w:pPr>
        <w:ind w:left="0" w:firstLine="0"/>
      </w:pPr>
      <w:rPr>
        <w:rFonts w:hint="default"/>
        <w:b w:val="0"/>
        <w:i w:val="0"/>
        <w:sz w:val="18"/>
      </w:rPr>
    </w:lvl>
    <w:lvl w:ilvl="1">
      <w:start w:val="1"/>
      <w:numFmt w:val="decimal"/>
      <w:suff w:val="nothing"/>
      <w:lvlText w:val="%1.%2"/>
      <w:lvlJc w:val="left"/>
      <w:pPr>
        <w:ind w:left="0" w:firstLine="0"/>
      </w:pPr>
      <w:rPr>
        <w:rFonts w:hint="default"/>
        <w:b w:val="0"/>
        <w:i w:val="0"/>
        <w:sz w:val="18"/>
        <w:szCs w:val="18"/>
      </w:rPr>
    </w:lvl>
    <w:lvl w:ilvl="2">
      <w:start w:val="1"/>
      <w:numFmt w:val="lowerLetter"/>
      <w:lvlRestart w:val="0"/>
      <w:suff w:val="nothing"/>
      <w:lvlText w:val="(%3)"/>
      <w:lvlJc w:val="left"/>
      <w:pPr>
        <w:ind w:left="0" w:firstLine="0"/>
      </w:pPr>
      <w:rPr>
        <w:rFonts w:hint="default"/>
        <w:b w:val="0"/>
        <w:i w:val="0"/>
        <w:sz w:val="18"/>
        <w:szCs w:val="18"/>
      </w:rPr>
    </w:lvl>
    <w:lvl w:ilvl="3">
      <w:start w:val="1"/>
      <w:numFmt w:val="lowerRoman"/>
      <w:lvlRestart w:val="0"/>
      <w:suff w:val="nothing"/>
      <w:lvlText w:val="(%4)"/>
      <w:lvlJc w:val="left"/>
      <w:pPr>
        <w:ind w:left="0" w:firstLine="0"/>
      </w:pPr>
      <w:rPr>
        <w:rFonts w:hint="default"/>
        <w:b w:val="0"/>
        <w:i w:val="0"/>
        <w:sz w:val="18"/>
        <w:szCs w:val="18"/>
      </w:rPr>
    </w:lvl>
    <w:lvl w:ilvl="4">
      <w:start w:val="1"/>
      <w:numFmt w:val="upperLetter"/>
      <w:lvlRestart w:val="0"/>
      <w:suff w:val="nothing"/>
      <w:lvlText w:val="(%5)"/>
      <w:lvlJc w:val="left"/>
      <w:pPr>
        <w:ind w:left="0" w:firstLine="0"/>
      </w:pPr>
      <w:rPr>
        <w:rFonts w:hint="default"/>
        <w:b w:val="0"/>
        <w:i w:val="0"/>
        <w:sz w:val="18"/>
        <w:szCs w:val="18"/>
      </w:rPr>
    </w:lvl>
    <w:lvl w:ilvl="5">
      <w:start w:val="27"/>
      <w:numFmt w:val="lowerLetter"/>
      <w:lvlRestart w:val="0"/>
      <w:suff w:val="nothing"/>
      <w:lvlText w:val="(%6)"/>
      <w:lvlJc w:val="left"/>
      <w:pPr>
        <w:ind w:left="0" w:firstLine="0"/>
      </w:pPr>
      <w:rPr>
        <w:rFonts w:hint="default"/>
        <w:b w:val="0"/>
        <w:i w:val="0"/>
        <w:sz w:val="18"/>
        <w:szCs w:val="18"/>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40" w15:restartNumberingAfterBreak="0">
    <w:nsid w:val="6FA97731"/>
    <w:multiLevelType w:val="multilevel"/>
    <w:tmpl w:val="0809001D"/>
    <w:name w:val="AltH1toH6Ashurst4"/>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1" w15:restartNumberingAfterBreak="0">
    <w:nsid w:val="6FCE09A2"/>
    <w:multiLevelType w:val="multilevel"/>
    <w:tmpl w:val="0809001D"/>
    <w:name w:val="AltH1toH6Ashurst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2" w15:restartNumberingAfterBreak="0">
    <w:nsid w:val="768237B4"/>
    <w:multiLevelType w:val="multilevel"/>
    <w:tmpl w:val="0809001D"/>
    <w:name w:val="SH1toSH6Ashurst3"/>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3" w15:restartNumberingAfterBreak="0">
    <w:nsid w:val="7B52556A"/>
    <w:multiLevelType w:val="hybridMultilevel"/>
    <w:tmpl w:val="24BEFC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B792B61"/>
    <w:multiLevelType w:val="hybridMultilevel"/>
    <w:tmpl w:val="AA02C10E"/>
    <w:name w:val="WW8Num64"/>
    <w:lvl w:ilvl="0" w:tplc="61C67466">
      <w:start w:val="1"/>
      <w:numFmt w:val="decimal"/>
      <w:pStyle w:val="PartiesAshurst"/>
      <w:lvlText w:val="(%1)"/>
      <w:lvlJc w:val="left"/>
      <w:pPr>
        <w:tabs>
          <w:tab w:val="num" w:pos="782"/>
        </w:tabs>
        <w:ind w:left="782" w:hanging="782"/>
      </w:pPr>
      <w:rPr>
        <w:rFonts w:hint="default"/>
        <w:b w:val="0"/>
        <w:i w:val="0"/>
        <w:sz w:val="18"/>
        <w:szCs w:val="18"/>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5" w15:restartNumberingAfterBreak="0">
    <w:nsid w:val="7BCD3DD8"/>
    <w:multiLevelType w:val="multilevel"/>
    <w:tmpl w:val="E98052C4"/>
    <w:name w:val="AltH1toH6Ashurst"/>
    <w:lvl w:ilvl="0">
      <w:start w:val="1"/>
      <w:numFmt w:val="decimal"/>
      <w:pStyle w:val="AltH1Ashurst"/>
      <w:lvlText w:val="%1."/>
      <w:lvlJc w:val="left"/>
      <w:pPr>
        <w:tabs>
          <w:tab w:val="num" w:pos="782"/>
        </w:tabs>
        <w:ind w:left="782" w:hanging="782"/>
      </w:pPr>
      <w:rPr>
        <w:rFonts w:hint="default"/>
        <w:b w:val="0"/>
        <w:i w:val="0"/>
        <w:sz w:val="18"/>
      </w:rPr>
    </w:lvl>
    <w:lvl w:ilvl="1">
      <w:start w:val="1"/>
      <w:numFmt w:val="decimal"/>
      <w:pStyle w:val="AltH2Ashurst"/>
      <w:lvlText w:val="%1.%2"/>
      <w:lvlJc w:val="left"/>
      <w:pPr>
        <w:tabs>
          <w:tab w:val="num" w:pos="782"/>
        </w:tabs>
        <w:ind w:left="782" w:hanging="782"/>
      </w:pPr>
      <w:rPr>
        <w:rFonts w:hint="default"/>
        <w:b w:val="0"/>
        <w:i w:val="0"/>
        <w:sz w:val="18"/>
        <w:szCs w:val="18"/>
      </w:rPr>
    </w:lvl>
    <w:lvl w:ilvl="2">
      <w:start w:val="1"/>
      <w:numFmt w:val="lowerLetter"/>
      <w:pStyle w:val="AltH3Ashurst"/>
      <w:lvlText w:val="(%3)"/>
      <w:lvlJc w:val="left"/>
      <w:pPr>
        <w:tabs>
          <w:tab w:val="num" w:pos="1406"/>
        </w:tabs>
        <w:ind w:left="1406" w:hanging="624"/>
      </w:pPr>
      <w:rPr>
        <w:rFonts w:hint="default"/>
        <w:b w:val="0"/>
        <w:i w:val="0"/>
        <w:sz w:val="18"/>
        <w:szCs w:val="18"/>
      </w:rPr>
    </w:lvl>
    <w:lvl w:ilvl="3">
      <w:start w:val="1"/>
      <w:numFmt w:val="lowerRoman"/>
      <w:pStyle w:val="AltH4Ashurst"/>
      <w:lvlText w:val="(%4)"/>
      <w:lvlJc w:val="left"/>
      <w:pPr>
        <w:tabs>
          <w:tab w:val="num" w:pos="2030"/>
        </w:tabs>
        <w:ind w:left="2030" w:hanging="624"/>
      </w:pPr>
      <w:rPr>
        <w:rFonts w:hint="default"/>
        <w:b w:val="0"/>
        <w:i w:val="0"/>
        <w:sz w:val="18"/>
        <w:szCs w:val="18"/>
      </w:rPr>
    </w:lvl>
    <w:lvl w:ilvl="4">
      <w:start w:val="1"/>
      <w:numFmt w:val="upperLetter"/>
      <w:pStyle w:val="AltH5Ashurst"/>
      <w:lvlText w:val="(%5)"/>
      <w:lvlJc w:val="left"/>
      <w:pPr>
        <w:tabs>
          <w:tab w:val="num" w:pos="2653"/>
        </w:tabs>
        <w:ind w:left="2653" w:hanging="623"/>
      </w:pPr>
      <w:rPr>
        <w:rFonts w:hint="default"/>
        <w:b w:val="0"/>
        <w:i w:val="0"/>
        <w:sz w:val="18"/>
        <w:szCs w:val="18"/>
      </w:rPr>
    </w:lvl>
    <w:lvl w:ilvl="5">
      <w:start w:val="27"/>
      <w:numFmt w:val="lowerLetter"/>
      <w:pStyle w:val="AltH6Ashurst"/>
      <w:lvlText w:val="(%6)"/>
      <w:lvlJc w:val="left"/>
      <w:pPr>
        <w:tabs>
          <w:tab w:val="num" w:pos="3277"/>
        </w:tabs>
        <w:ind w:left="3277" w:hanging="624"/>
      </w:pPr>
      <w:rPr>
        <w:rFonts w:hint="default"/>
        <w:b w:val="0"/>
        <w:i w:val="0"/>
        <w:sz w:val="18"/>
        <w:szCs w:val="18"/>
      </w:rPr>
    </w:lvl>
    <w:lvl w:ilvl="6">
      <w:start w:val="1"/>
      <w:numFmt w:val="lowerLetter"/>
      <w:pStyle w:val="AltH7Ashurst"/>
      <w:lvlText w:val="(%7)"/>
      <w:lvlJc w:val="left"/>
      <w:pPr>
        <w:tabs>
          <w:tab w:val="num" w:pos="3901"/>
        </w:tabs>
        <w:ind w:left="3901" w:hanging="624"/>
      </w:pPr>
      <w:rPr>
        <w:rFonts w:hint="default"/>
        <w:b w:val="0"/>
        <w:i w:val="0"/>
        <w:sz w:val="18"/>
        <w:szCs w:val="18"/>
      </w:rPr>
    </w:lvl>
    <w:lvl w:ilvl="7">
      <w:start w:val="1"/>
      <w:numFmt w:val="lowerRoman"/>
      <w:pStyle w:val="AltH8Ashurst"/>
      <w:lvlText w:val="(%8)"/>
      <w:lvlJc w:val="left"/>
      <w:pPr>
        <w:tabs>
          <w:tab w:val="num" w:pos="4525"/>
        </w:tabs>
        <w:ind w:left="4525" w:hanging="624"/>
      </w:pPr>
      <w:rPr>
        <w:rFonts w:hint="default"/>
      </w:rPr>
    </w:lvl>
    <w:lvl w:ilvl="8">
      <w:start w:val="1"/>
      <w:numFmt w:val="none"/>
      <w:lvlText w:val=""/>
      <w:lvlJc w:val="left"/>
      <w:pPr>
        <w:tabs>
          <w:tab w:val="num" w:pos="0"/>
        </w:tabs>
        <w:ind w:left="0" w:firstLine="0"/>
      </w:pPr>
      <w:rPr>
        <w:rFonts w:hint="default"/>
      </w:rPr>
    </w:lvl>
  </w:abstractNum>
  <w:abstractNum w:abstractNumId="46" w15:restartNumberingAfterBreak="0">
    <w:nsid w:val="7CCA31EC"/>
    <w:multiLevelType w:val="hybridMultilevel"/>
    <w:tmpl w:val="4C3E3524"/>
    <w:lvl w:ilvl="0" w:tplc="B3486C8A">
      <w:start w:val="1"/>
      <w:numFmt w:val="bullet"/>
      <w:pStyle w:val="Bullet5Ashurst"/>
      <w:lvlText w:val=""/>
      <w:lvlJc w:val="left"/>
      <w:pPr>
        <w:tabs>
          <w:tab w:val="num" w:pos="3277"/>
        </w:tabs>
        <w:ind w:left="3277" w:hanging="623"/>
      </w:pPr>
      <w:rPr>
        <w:rFonts w:ascii="Symbol" w:hAnsi="Symbol" w:hint="default"/>
        <w:b w:val="0"/>
        <w:i w:val="0"/>
        <w:sz w:val="18"/>
        <w:szCs w:val="18"/>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E2D6A3D"/>
    <w:multiLevelType w:val="hybridMultilevel"/>
    <w:tmpl w:val="87C06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4"/>
  </w:num>
  <w:num w:numId="2">
    <w:abstractNumId w:val="18"/>
  </w:num>
  <w:num w:numId="3">
    <w:abstractNumId w:val="8"/>
  </w:num>
  <w:num w:numId="4">
    <w:abstractNumId w:val="26"/>
  </w:num>
  <w:num w:numId="5">
    <w:abstractNumId w:val="45"/>
  </w:num>
  <w:num w:numId="6">
    <w:abstractNumId w:val="15"/>
  </w:num>
  <w:num w:numId="7">
    <w:abstractNumId w:val="23"/>
  </w:num>
  <w:num w:numId="8">
    <w:abstractNumId w:val="9"/>
  </w:num>
  <w:num w:numId="9">
    <w:abstractNumId w:val="7"/>
  </w:num>
  <w:num w:numId="10">
    <w:abstractNumId w:val="4"/>
  </w:num>
  <w:num w:numId="11">
    <w:abstractNumId w:val="35"/>
  </w:num>
  <w:num w:numId="12">
    <w:abstractNumId w:val="38"/>
  </w:num>
  <w:num w:numId="13">
    <w:abstractNumId w:val="46"/>
  </w:num>
  <w:num w:numId="14">
    <w:abstractNumId w:val="29"/>
  </w:num>
  <w:num w:numId="15">
    <w:abstractNumId w:val="32"/>
  </w:num>
  <w:num w:numId="16">
    <w:abstractNumId w:val="1"/>
  </w:num>
  <w:num w:numId="17">
    <w:abstractNumId w:val="5"/>
  </w:num>
  <w:num w:numId="18">
    <w:abstractNumId w:val="36"/>
  </w:num>
  <w:num w:numId="19">
    <w:abstractNumId w:val="24"/>
  </w:num>
  <w:num w:numId="20">
    <w:abstractNumId w:val="14"/>
  </w:num>
  <w:num w:numId="21">
    <w:abstractNumId w:val="30"/>
  </w:num>
  <w:num w:numId="22">
    <w:abstractNumId w:val="12"/>
  </w:num>
  <w:num w:numId="23">
    <w:abstractNumId w:val="3"/>
  </w:num>
  <w:num w:numId="24">
    <w:abstractNumId w:val="39"/>
  </w:num>
  <w:num w:numId="25">
    <w:abstractNumId w:val="28"/>
  </w:num>
  <w:num w:numId="26">
    <w:abstractNumId w:val="25"/>
  </w:num>
  <w:num w:numId="27">
    <w:abstractNumId w:val="25"/>
  </w:num>
  <w:num w:numId="28">
    <w:abstractNumId w:val="20"/>
  </w:num>
  <w:num w:numId="29">
    <w:abstractNumId w:val="40"/>
  </w:num>
  <w:num w:numId="30">
    <w:abstractNumId w:val="13"/>
  </w:num>
  <w:num w:numId="31">
    <w:abstractNumId w:val="6"/>
  </w:num>
  <w:num w:numId="32">
    <w:abstractNumId w:val="2"/>
  </w:num>
  <w:num w:numId="33">
    <w:abstractNumId w:val="0"/>
  </w:num>
  <w:num w:numId="34">
    <w:abstractNumId w:val="11"/>
  </w:num>
  <w:num w:numId="35">
    <w:abstractNumId w:val="43"/>
  </w:num>
  <w:num w:numId="36">
    <w:abstractNumId w:val="27"/>
  </w:num>
  <w:num w:numId="37">
    <w:abstractNumId w:val="4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1801" w:allStyles="1" w:customStyles="0" w:latentStyles="0" w:stylesInUse="0" w:headingStyles="0" w:numberingStyles="0" w:tableStyles="0" w:directFormattingOnRuns="0" w:directFormattingOnParagraphs="0" w:directFormattingOnNumbering="0" w:directFormattingOnTables="1" w:clearFormatting="1" w:top3HeadingStyles="0" w:visibleStyles="0" w:alternateStyleNames="0"/>
  <w:defaultTabStop w:val="567"/>
  <w:clickAndTypeStyle w:val="StandardAshurst"/>
  <w:drawingGridHorizontalSpacing w:val="9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shurstDocumentData" w:val="&lt;?xml version=&quot;1.0&quot; encoding=&quot;UTF-16&quot;?&gt;_x000d__x000a_&lt;ashurstDocument&gt;_x000d__x000a__x0009_&lt;documentData&gt;_x000d__x000a__x0009__x0009_&lt;set name=&quot;general&quot; key=&quot;general&quot;&gt;_x000d__x000a__x0009__x0009__x0009_&lt;items&gt;_x000d__x000a__x0009__x0009__x0009__x0009_&lt;item name=&quot;templateID&quot; value=&quot;ashWordDoc&quot;&gt;_x000d__x000a__x0009__x0009__x0009__x0009_&lt;/item&gt;_x000d__x000a__x0009__x0009__x0009__x0009_&lt;item name=&quot;dataID&quot; value=&quot;&quot;&gt;_x000d__x000a__x0009__x0009__x0009__x0009_&lt;/item&gt;_x000d__x000a__x0009__x0009__x0009__x0009_&lt;item name=&quot;officeID&quot; value=&quot;london&quot;&gt;_x000d__x000a__x0009__x0009__x0009__x0009_&lt;/item&gt;_x000d__x000a__x0009__x0009__x0009__x0009_&lt;item name=&quot;languageID&quot; value=&quot;english-uk&quot;&gt;_x000d__x000a__x0009__x0009__x0009__x0009_&lt;/item&gt;_x000d__x000a__x0009__x0009__x0009__x0009_&lt;item name=&quot;localeID&quot; value=&quot;2057&quot;&gt;_x000d__x000a__x0009__x0009__x0009__x0009_&lt;/item&gt;_x000d__x000a__x0009__x0009__x0009__x0009_&lt;item name=&quot;authorID&quot; value=&quot;Catherine Hammon&quot;&gt;_x000d__x000a__x0009__x0009__x0009__x0009_&lt;/item&gt;_x000d__x000a__x0009__x0009__x0009__x0009_&lt;item name=&quot;day&quot; value=&quot;1&quot;&gt;_x000d__x000a__x0009__x0009__x0009__x0009_&lt;/item&gt;_x000d__x000a__x0009__x0009__x0009__x0009_&lt;item name=&quot;month&quot; value=&quot;3&quot;&gt;_x000d__x000a__x0009__x0009__x0009__x0009_&lt;/item&gt;_x000d__x000a__x0009__x0009__x0009__x0009_&lt;item name=&quot;year&quot; value=&quot;2011&quot;&gt;_x000d__x000a__x0009__x0009__x0009__x0009_&lt;/item&gt;_x000d__x000a__x0009__x0009__x0009__x0009_&lt;item name=&quot;legacyTemplateName&quot; value=&quot;&quot;&gt;_x000d__x000a__x0009__x0009__x0009__x0009_&lt;/item&gt;_x000d__x000a__x0009__x0009__x0009__x0009_&lt;item name=&quot;iwStartFolder&quot; value=&quot;&quot;&gt;_x000d__x000a__x0009__x0009__x0009__x0009_&lt;/item&gt;_x000d__x000a__x0009__x0009__x0009_&lt;/items&gt;_x000d__x000a__x0009__x0009_&lt;/set&gt;_x000d__x000a__x0009_&lt;/documentData&gt;_x000d__x000a_&lt;/ashurstDocument&gt;_x000d__x000a_"/>
  </w:docVars>
  <w:rsids>
    <w:rsidRoot w:val="00C5596B"/>
    <w:rsid w:val="00007561"/>
    <w:rsid w:val="00012058"/>
    <w:rsid w:val="0001722A"/>
    <w:rsid w:val="00035687"/>
    <w:rsid w:val="0004464C"/>
    <w:rsid w:val="0004521A"/>
    <w:rsid w:val="0004692E"/>
    <w:rsid w:val="00073C8F"/>
    <w:rsid w:val="000752BD"/>
    <w:rsid w:val="000753D2"/>
    <w:rsid w:val="00083CCC"/>
    <w:rsid w:val="00095FA1"/>
    <w:rsid w:val="000A181E"/>
    <w:rsid w:val="000A282A"/>
    <w:rsid w:val="000A50F9"/>
    <w:rsid w:val="000B5E2D"/>
    <w:rsid w:val="000C200A"/>
    <w:rsid w:val="000C64DE"/>
    <w:rsid w:val="000D11CB"/>
    <w:rsid w:val="000F6F4F"/>
    <w:rsid w:val="0010376C"/>
    <w:rsid w:val="001150B2"/>
    <w:rsid w:val="00127EDE"/>
    <w:rsid w:val="00144454"/>
    <w:rsid w:val="00145EF2"/>
    <w:rsid w:val="00146CD3"/>
    <w:rsid w:val="001520F2"/>
    <w:rsid w:val="00173681"/>
    <w:rsid w:val="00183B06"/>
    <w:rsid w:val="00192D11"/>
    <w:rsid w:val="00193054"/>
    <w:rsid w:val="001A40A3"/>
    <w:rsid w:val="001A7742"/>
    <w:rsid w:val="001C2AE5"/>
    <w:rsid w:val="001C73C2"/>
    <w:rsid w:val="001E505F"/>
    <w:rsid w:val="001E5340"/>
    <w:rsid w:val="001E7B4E"/>
    <w:rsid w:val="002013FE"/>
    <w:rsid w:val="002037DC"/>
    <w:rsid w:val="00210674"/>
    <w:rsid w:val="00210D61"/>
    <w:rsid w:val="00216F05"/>
    <w:rsid w:val="002170D8"/>
    <w:rsid w:val="00221781"/>
    <w:rsid w:val="002378E4"/>
    <w:rsid w:val="00246BAF"/>
    <w:rsid w:val="00252D7F"/>
    <w:rsid w:val="002539DB"/>
    <w:rsid w:val="002746A1"/>
    <w:rsid w:val="00277941"/>
    <w:rsid w:val="0028283D"/>
    <w:rsid w:val="002937DE"/>
    <w:rsid w:val="002A40E8"/>
    <w:rsid w:val="002A5D74"/>
    <w:rsid w:val="002B64AA"/>
    <w:rsid w:val="002C6C84"/>
    <w:rsid w:val="002E0B9B"/>
    <w:rsid w:val="002F072F"/>
    <w:rsid w:val="002F0CC5"/>
    <w:rsid w:val="002F17AD"/>
    <w:rsid w:val="003014B4"/>
    <w:rsid w:val="003017F3"/>
    <w:rsid w:val="003035B5"/>
    <w:rsid w:val="00304760"/>
    <w:rsid w:val="0030774C"/>
    <w:rsid w:val="00313061"/>
    <w:rsid w:val="00334BCA"/>
    <w:rsid w:val="00342AC6"/>
    <w:rsid w:val="003440D8"/>
    <w:rsid w:val="00353225"/>
    <w:rsid w:val="0035381C"/>
    <w:rsid w:val="003540B0"/>
    <w:rsid w:val="003564ED"/>
    <w:rsid w:val="003576F8"/>
    <w:rsid w:val="00360046"/>
    <w:rsid w:val="00364253"/>
    <w:rsid w:val="0036458D"/>
    <w:rsid w:val="00365DB9"/>
    <w:rsid w:val="00377A54"/>
    <w:rsid w:val="00386A6F"/>
    <w:rsid w:val="00387B3E"/>
    <w:rsid w:val="003914E5"/>
    <w:rsid w:val="0039476C"/>
    <w:rsid w:val="00396EF0"/>
    <w:rsid w:val="00397D9E"/>
    <w:rsid w:val="003A14F4"/>
    <w:rsid w:val="003B1A31"/>
    <w:rsid w:val="003B4817"/>
    <w:rsid w:val="003B57DF"/>
    <w:rsid w:val="003D2729"/>
    <w:rsid w:val="003D2A86"/>
    <w:rsid w:val="0040055B"/>
    <w:rsid w:val="004027CD"/>
    <w:rsid w:val="00410AFE"/>
    <w:rsid w:val="00425445"/>
    <w:rsid w:val="00427977"/>
    <w:rsid w:val="00430633"/>
    <w:rsid w:val="0043297B"/>
    <w:rsid w:val="0043374F"/>
    <w:rsid w:val="00434408"/>
    <w:rsid w:val="00434F7C"/>
    <w:rsid w:val="00453C31"/>
    <w:rsid w:val="004620A7"/>
    <w:rsid w:val="00470DF7"/>
    <w:rsid w:val="00477337"/>
    <w:rsid w:val="0049505D"/>
    <w:rsid w:val="004A6AF1"/>
    <w:rsid w:val="004A74FB"/>
    <w:rsid w:val="004B061B"/>
    <w:rsid w:val="004B169C"/>
    <w:rsid w:val="004B2DE3"/>
    <w:rsid w:val="004C24B6"/>
    <w:rsid w:val="004C30EA"/>
    <w:rsid w:val="004C389D"/>
    <w:rsid w:val="004C5C42"/>
    <w:rsid w:val="004C751D"/>
    <w:rsid w:val="004D292F"/>
    <w:rsid w:val="004D44C9"/>
    <w:rsid w:val="004F6EC7"/>
    <w:rsid w:val="005059AD"/>
    <w:rsid w:val="00507F46"/>
    <w:rsid w:val="00515237"/>
    <w:rsid w:val="00524620"/>
    <w:rsid w:val="005258F7"/>
    <w:rsid w:val="005359DB"/>
    <w:rsid w:val="00550EB6"/>
    <w:rsid w:val="00552315"/>
    <w:rsid w:val="005560B1"/>
    <w:rsid w:val="00571555"/>
    <w:rsid w:val="00572594"/>
    <w:rsid w:val="00574BF7"/>
    <w:rsid w:val="0057711F"/>
    <w:rsid w:val="00581094"/>
    <w:rsid w:val="0059654F"/>
    <w:rsid w:val="005A238C"/>
    <w:rsid w:val="005B3DB2"/>
    <w:rsid w:val="005B4D49"/>
    <w:rsid w:val="005D0936"/>
    <w:rsid w:val="00605847"/>
    <w:rsid w:val="00606C86"/>
    <w:rsid w:val="006133EF"/>
    <w:rsid w:val="00614D66"/>
    <w:rsid w:val="00632ABB"/>
    <w:rsid w:val="00632DD1"/>
    <w:rsid w:val="00636561"/>
    <w:rsid w:val="0063766D"/>
    <w:rsid w:val="00650C5C"/>
    <w:rsid w:val="00653007"/>
    <w:rsid w:val="00656AB8"/>
    <w:rsid w:val="00657984"/>
    <w:rsid w:val="00666E73"/>
    <w:rsid w:val="006713F0"/>
    <w:rsid w:val="00690976"/>
    <w:rsid w:val="0069548C"/>
    <w:rsid w:val="006C6960"/>
    <w:rsid w:val="006C7AE2"/>
    <w:rsid w:val="006D68BB"/>
    <w:rsid w:val="006F645A"/>
    <w:rsid w:val="006F7F8B"/>
    <w:rsid w:val="007007F6"/>
    <w:rsid w:val="0070387A"/>
    <w:rsid w:val="00705F22"/>
    <w:rsid w:val="00713D2B"/>
    <w:rsid w:val="00723994"/>
    <w:rsid w:val="0072498A"/>
    <w:rsid w:val="00726CC7"/>
    <w:rsid w:val="00732261"/>
    <w:rsid w:val="0073305C"/>
    <w:rsid w:val="00740635"/>
    <w:rsid w:val="00741036"/>
    <w:rsid w:val="0074709C"/>
    <w:rsid w:val="00747A8D"/>
    <w:rsid w:val="007509CF"/>
    <w:rsid w:val="0075106A"/>
    <w:rsid w:val="00760591"/>
    <w:rsid w:val="00773115"/>
    <w:rsid w:val="00784C2B"/>
    <w:rsid w:val="00785624"/>
    <w:rsid w:val="007A0FA2"/>
    <w:rsid w:val="007B17BF"/>
    <w:rsid w:val="007B2876"/>
    <w:rsid w:val="007C2F18"/>
    <w:rsid w:val="007C38DC"/>
    <w:rsid w:val="007D77BB"/>
    <w:rsid w:val="007E1302"/>
    <w:rsid w:val="007E2491"/>
    <w:rsid w:val="007F6A3F"/>
    <w:rsid w:val="00805A05"/>
    <w:rsid w:val="008122E1"/>
    <w:rsid w:val="008137EB"/>
    <w:rsid w:val="00815FB9"/>
    <w:rsid w:val="00846A03"/>
    <w:rsid w:val="00863D91"/>
    <w:rsid w:val="00864505"/>
    <w:rsid w:val="00890E1A"/>
    <w:rsid w:val="0089327B"/>
    <w:rsid w:val="0089337C"/>
    <w:rsid w:val="00893EA6"/>
    <w:rsid w:val="008A1213"/>
    <w:rsid w:val="008A22DB"/>
    <w:rsid w:val="008B127B"/>
    <w:rsid w:val="008C0B2E"/>
    <w:rsid w:val="008C0D20"/>
    <w:rsid w:val="008C546B"/>
    <w:rsid w:val="008D0B5A"/>
    <w:rsid w:val="008D14EB"/>
    <w:rsid w:val="008D2D29"/>
    <w:rsid w:val="008D7679"/>
    <w:rsid w:val="008E0436"/>
    <w:rsid w:val="008E0A7B"/>
    <w:rsid w:val="008F0D9C"/>
    <w:rsid w:val="008F2A8B"/>
    <w:rsid w:val="008F5498"/>
    <w:rsid w:val="008F5620"/>
    <w:rsid w:val="00901FB9"/>
    <w:rsid w:val="00917F49"/>
    <w:rsid w:val="00921719"/>
    <w:rsid w:val="00927401"/>
    <w:rsid w:val="00940A63"/>
    <w:rsid w:val="00945E85"/>
    <w:rsid w:val="009572B9"/>
    <w:rsid w:val="0096008F"/>
    <w:rsid w:val="009650A2"/>
    <w:rsid w:val="00966C85"/>
    <w:rsid w:val="00972FC4"/>
    <w:rsid w:val="00975E3F"/>
    <w:rsid w:val="009775C8"/>
    <w:rsid w:val="00983209"/>
    <w:rsid w:val="00984B6C"/>
    <w:rsid w:val="009958D5"/>
    <w:rsid w:val="009A14C5"/>
    <w:rsid w:val="009A379A"/>
    <w:rsid w:val="009B009A"/>
    <w:rsid w:val="009B6BC2"/>
    <w:rsid w:val="009C2A04"/>
    <w:rsid w:val="009E2350"/>
    <w:rsid w:val="009F3B32"/>
    <w:rsid w:val="009F5438"/>
    <w:rsid w:val="009F5F3E"/>
    <w:rsid w:val="00A014C4"/>
    <w:rsid w:val="00A03C93"/>
    <w:rsid w:val="00A20019"/>
    <w:rsid w:val="00A245FA"/>
    <w:rsid w:val="00A2635F"/>
    <w:rsid w:val="00A276D4"/>
    <w:rsid w:val="00A47D07"/>
    <w:rsid w:val="00A56C0E"/>
    <w:rsid w:val="00A82F22"/>
    <w:rsid w:val="00A8329F"/>
    <w:rsid w:val="00A83DD0"/>
    <w:rsid w:val="00A930A0"/>
    <w:rsid w:val="00A96AD1"/>
    <w:rsid w:val="00AA50D6"/>
    <w:rsid w:val="00AB19BB"/>
    <w:rsid w:val="00AB1CA2"/>
    <w:rsid w:val="00AB27F2"/>
    <w:rsid w:val="00AB5C0E"/>
    <w:rsid w:val="00AB714D"/>
    <w:rsid w:val="00AB7C7F"/>
    <w:rsid w:val="00AC0A0F"/>
    <w:rsid w:val="00AC5B3B"/>
    <w:rsid w:val="00AD72AD"/>
    <w:rsid w:val="00AE765A"/>
    <w:rsid w:val="00B04880"/>
    <w:rsid w:val="00B05CC7"/>
    <w:rsid w:val="00B156B6"/>
    <w:rsid w:val="00B1656F"/>
    <w:rsid w:val="00B2209E"/>
    <w:rsid w:val="00B42B5E"/>
    <w:rsid w:val="00B45ED7"/>
    <w:rsid w:val="00B53BA7"/>
    <w:rsid w:val="00B544E8"/>
    <w:rsid w:val="00B555D6"/>
    <w:rsid w:val="00B714DD"/>
    <w:rsid w:val="00B77275"/>
    <w:rsid w:val="00B84191"/>
    <w:rsid w:val="00BA0692"/>
    <w:rsid w:val="00BA25F8"/>
    <w:rsid w:val="00BA5BC3"/>
    <w:rsid w:val="00BA6443"/>
    <w:rsid w:val="00BB5209"/>
    <w:rsid w:val="00BC0B2D"/>
    <w:rsid w:val="00BC5F7E"/>
    <w:rsid w:val="00BD1282"/>
    <w:rsid w:val="00BD45FA"/>
    <w:rsid w:val="00BD65B5"/>
    <w:rsid w:val="00BD72F3"/>
    <w:rsid w:val="00BE2F9F"/>
    <w:rsid w:val="00BE671E"/>
    <w:rsid w:val="00BE694E"/>
    <w:rsid w:val="00BF4C90"/>
    <w:rsid w:val="00BF6B48"/>
    <w:rsid w:val="00C11427"/>
    <w:rsid w:val="00C3095B"/>
    <w:rsid w:val="00C325BC"/>
    <w:rsid w:val="00C4354F"/>
    <w:rsid w:val="00C4375C"/>
    <w:rsid w:val="00C50AB6"/>
    <w:rsid w:val="00C5591A"/>
    <w:rsid w:val="00C5596B"/>
    <w:rsid w:val="00C60632"/>
    <w:rsid w:val="00C619C4"/>
    <w:rsid w:val="00C66791"/>
    <w:rsid w:val="00C802E4"/>
    <w:rsid w:val="00CA3876"/>
    <w:rsid w:val="00CB31F7"/>
    <w:rsid w:val="00CE0168"/>
    <w:rsid w:val="00CE1E24"/>
    <w:rsid w:val="00CF398B"/>
    <w:rsid w:val="00D006BF"/>
    <w:rsid w:val="00D04849"/>
    <w:rsid w:val="00D053B5"/>
    <w:rsid w:val="00D160F3"/>
    <w:rsid w:val="00D24526"/>
    <w:rsid w:val="00D3282F"/>
    <w:rsid w:val="00D41BC0"/>
    <w:rsid w:val="00D43376"/>
    <w:rsid w:val="00D5750D"/>
    <w:rsid w:val="00D66988"/>
    <w:rsid w:val="00D80D15"/>
    <w:rsid w:val="00DA1685"/>
    <w:rsid w:val="00DA1698"/>
    <w:rsid w:val="00DA191B"/>
    <w:rsid w:val="00DA7932"/>
    <w:rsid w:val="00DB20D1"/>
    <w:rsid w:val="00DB75D4"/>
    <w:rsid w:val="00DC5948"/>
    <w:rsid w:val="00DD0409"/>
    <w:rsid w:val="00DD1B8C"/>
    <w:rsid w:val="00DE19C2"/>
    <w:rsid w:val="00DF479C"/>
    <w:rsid w:val="00DF506E"/>
    <w:rsid w:val="00DF5532"/>
    <w:rsid w:val="00E15071"/>
    <w:rsid w:val="00E1710A"/>
    <w:rsid w:val="00E21B41"/>
    <w:rsid w:val="00E51AB3"/>
    <w:rsid w:val="00E524D7"/>
    <w:rsid w:val="00E5686A"/>
    <w:rsid w:val="00E644F7"/>
    <w:rsid w:val="00E729A4"/>
    <w:rsid w:val="00E929EF"/>
    <w:rsid w:val="00E95EA4"/>
    <w:rsid w:val="00E96931"/>
    <w:rsid w:val="00EA5218"/>
    <w:rsid w:val="00EB7A07"/>
    <w:rsid w:val="00EC51F3"/>
    <w:rsid w:val="00ED7B7A"/>
    <w:rsid w:val="00EE3781"/>
    <w:rsid w:val="00EE4824"/>
    <w:rsid w:val="00EF0C71"/>
    <w:rsid w:val="00EF2043"/>
    <w:rsid w:val="00F04145"/>
    <w:rsid w:val="00F061B0"/>
    <w:rsid w:val="00F14033"/>
    <w:rsid w:val="00F23E35"/>
    <w:rsid w:val="00F252BF"/>
    <w:rsid w:val="00F25CF5"/>
    <w:rsid w:val="00F41036"/>
    <w:rsid w:val="00F52544"/>
    <w:rsid w:val="00F72FF5"/>
    <w:rsid w:val="00F77A66"/>
    <w:rsid w:val="00F82F98"/>
    <w:rsid w:val="00F868FA"/>
    <w:rsid w:val="00F942D8"/>
    <w:rsid w:val="00F9746D"/>
    <w:rsid w:val="00FA2CE0"/>
    <w:rsid w:val="00FA4D1E"/>
    <w:rsid w:val="00FC2678"/>
    <w:rsid w:val="00FC291E"/>
    <w:rsid w:val="00FC79B4"/>
    <w:rsid w:val="00FC79CD"/>
    <w:rsid w:val="00FC7A2F"/>
    <w:rsid w:val="00FD5EC9"/>
    <w:rsid w:val="00FD6D4F"/>
    <w:rsid w:val="00FD7D75"/>
    <w:rsid w:val="00FF67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0EE9F620"/>
  <w15:chartTrackingRefBased/>
  <w15:docId w15:val="{B68EE957-44D9-4D3A-A72F-3F9B5E6F02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HTML Typewriter"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4620"/>
    <w:pPr>
      <w:spacing w:line="264" w:lineRule="auto"/>
      <w:jc w:val="both"/>
    </w:pPr>
    <w:rPr>
      <w:rFonts w:ascii="Verdana" w:hAnsi="Verdana"/>
      <w:sz w:val="18"/>
      <w:szCs w:val="18"/>
    </w:rPr>
  </w:style>
  <w:style w:type="paragraph" w:styleId="Heading1">
    <w:name w:val="heading 1"/>
    <w:basedOn w:val="Normal"/>
    <w:qFormat/>
    <w:rsid w:val="00073C8F"/>
    <w:pPr>
      <w:numPr>
        <w:numId w:val="8"/>
      </w:numPr>
      <w:outlineLvl w:val="0"/>
    </w:pPr>
    <w:rPr>
      <w:rFonts w:cs="Arial"/>
      <w:bCs/>
      <w:kern w:val="32"/>
    </w:rPr>
  </w:style>
  <w:style w:type="paragraph" w:styleId="Heading2">
    <w:name w:val="heading 2"/>
    <w:basedOn w:val="Normal"/>
    <w:qFormat/>
    <w:rsid w:val="00073C8F"/>
    <w:pPr>
      <w:numPr>
        <w:ilvl w:val="1"/>
        <w:numId w:val="8"/>
      </w:numPr>
      <w:outlineLvl w:val="1"/>
    </w:pPr>
    <w:rPr>
      <w:rFonts w:cs="Arial"/>
      <w:bCs/>
      <w:iCs/>
    </w:rPr>
  </w:style>
  <w:style w:type="paragraph" w:styleId="Heading3">
    <w:name w:val="heading 3"/>
    <w:basedOn w:val="Normal"/>
    <w:qFormat/>
    <w:rsid w:val="00073C8F"/>
    <w:pPr>
      <w:numPr>
        <w:ilvl w:val="2"/>
        <w:numId w:val="8"/>
      </w:numPr>
      <w:outlineLvl w:val="2"/>
    </w:pPr>
    <w:rPr>
      <w:rFonts w:cs="Arial"/>
      <w:bCs/>
    </w:rPr>
  </w:style>
  <w:style w:type="paragraph" w:styleId="Heading4">
    <w:name w:val="heading 4"/>
    <w:basedOn w:val="Normal"/>
    <w:qFormat/>
    <w:rsid w:val="00073C8F"/>
    <w:pPr>
      <w:numPr>
        <w:ilvl w:val="3"/>
        <w:numId w:val="8"/>
      </w:numPr>
      <w:outlineLvl w:val="3"/>
    </w:pPr>
    <w:rPr>
      <w:bCs/>
    </w:rPr>
  </w:style>
  <w:style w:type="paragraph" w:styleId="Heading5">
    <w:name w:val="heading 5"/>
    <w:basedOn w:val="Normal"/>
    <w:qFormat/>
    <w:rsid w:val="00073C8F"/>
    <w:pPr>
      <w:numPr>
        <w:ilvl w:val="4"/>
        <w:numId w:val="8"/>
      </w:numPr>
      <w:outlineLvl w:val="4"/>
    </w:pPr>
    <w:rPr>
      <w:bCs/>
      <w:iCs/>
    </w:rPr>
  </w:style>
  <w:style w:type="paragraph" w:styleId="Heading6">
    <w:name w:val="heading 6"/>
    <w:basedOn w:val="Normal"/>
    <w:qFormat/>
    <w:rsid w:val="00073C8F"/>
    <w:pPr>
      <w:numPr>
        <w:ilvl w:val="5"/>
        <w:numId w:val="8"/>
      </w:numPr>
      <w:outlineLvl w:val="5"/>
    </w:pPr>
    <w:rPr>
      <w:bCs/>
    </w:rPr>
  </w:style>
  <w:style w:type="paragraph" w:styleId="Heading7">
    <w:name w:val="heading 7"/>
    <w:basedOn w:val="Normal"/>
    <w:qFormat/>
    <w:rsid w:val="00073C8F"/>
    <w:pPr>
      <w:numPr>
        <w:ilvl w:val="6"/>
        <w:numId w:val="8"/>
      </w:numPr>
      <w:outlineLvl w:val="6"/>
    </w:pPr>
  </w:style>
  <w:style w:type="paragraph" w:styleId="Heading8">
    <w:name w:val="heading 8"/>
    <w:basedOn w:val="Normal"/>
    <w:qFormat/>
    <w:rsid w:val="00073C8F"/>
    <w:pPr>
      <w:numPr>
        <w:ilvl w:val="7"/>
        <w:numId w:val="8"/>
      </w:numPr>
      <w:outlineLvl w:val="7"/>
    </w:pPr>
    <w:rPr>
      <w:iCs/>
    </w:rPr>
  </w:style>
  <w:style w:type="paragraph" w:styleId="Heading9">
    <w:name w:val="heading 9"/>
    <w:basedOn w:val="Normal"/>
    <w:qFormat/>
    <w:rsid w:val="00073C8F"/>
    <w:pPr>
      <w:numPr>
        <w:ilvl w:val="8"/>
        <w:numId w:val="8"/>
      </w:numPr>
      <w:outlineLvl w:val="8"/>
    </w:pPr>
    <w:rPr>
      <w:rFonts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shurst">
    <w:name w:val="NormalAshurst"/>
    <w:rsid w:val="00BA6443"/>
    <w:pPr>
      <w:suppressAutoHyphens/>
      <w:spacing w:after="220" w:line="264" w:lineRule="auto"/>
      <w:jc w:val="both"/>
    </w:pPr>
    <w:rPr>
      <w:rFonts w:ascii="Verdana" w:eastAsia="MS Mincho" w:hAnsi="Verdana"/>
      <w:sz w:val="18"/>
    </w:rPr>
  </w:style>
  <w:style w:type="paragraph" w:customStyle="1" w:styleId="StandardAshurst">
    <w:name w:val="StandardAshurst"/>
    <w:basedOn w:val="NormalAshurst"/>
    <w:rsid w:val="004B2DE3"/>
    <w:pPr>
      <w:spacing w:after="0"/>
    </w:pPr>
  </w:style>
  <w:style w:type="character" w:styleId="PageNumber">
    <w:name w:val="page number"/>
    <w:rsid w:val="001150B2"/>
    <w:rPr>
      <w:rFonts w:ascii="Verdana" w:hAnsi="Verdana"/>
      <w:sz w:val="18"/>
      <w:szCs w:val="18"/>
    </w:rPr>
  </w:style>
  <w:style w:type="paragraph" w:styleId="EnvelopeAddress">
    <w:name w:val="envelope address"/>
    <w:basedOn w:val="StandardAshurst"/>
    <w:rsid w:val="00A47D07"/>
    <w:pPr>
      <w:framePr w:w="7920" w:h="1980" w:hRule="exact" w:hSpace="180" w:wrap="auto" w:hAnchor="page" w:xAlign="center" w:yAlign="bottom"/>
      <w:spacing w:line="220" w:lineRule="atLeast"/>
      <w:ind w:left="2880"/>
      <w:jc w:val="left"/>
    </w:pPr>
    <w:rPr>
      <w:rFonts w:cs="Arial"/>
      <w:szCs w:val="18"/>
    </w:rPr>
  </w:style>
  <w:style w:type="paragraph" w:customStyle="1" w:styleId="B3Ashurst">
    <w:name w:val="B3Ashurst"/>
    <w:basedOn w:val="NormalAshurst"/>
    <w:rsid w:val="002037DC"/>
    <w:pPr>
      <w:tabs>
        <w:tab w:val="left" w:pos="2030"/>
        <w:tab w:val="left" w:pos="2654"/>
        <w:tab w:val="left" w:pos="3277"/>
        <w:tab w:val="left" w:pos="3901"/>
      </w:tabs>
      <w:ind w:left="1406"/>
    </w:pPr>
  </w:style>
  <w:style w:type="paragraph" w:customStyle="1" w:styleId="BAshurst">
    <w:name w:val="BAshurst"/>
    <w:basedOn w:val="NormalAshurst"/>
    <w:rsid w:val="00B84191"/>
    <w:pPr>
      <w:tabs>
        <w:tab w:val="left" w:pos="782"/>
        <w:tab w:val="left" w:pos="1406"/>
        <w:tab w:val="left" w:pos="2030"/>
        <w:tab w:val="left" w:pos="2654"/>
        <w:tab w:val="left" w:pos="3277"/>
        <w:tab w:val="left" w:pos="3901"/>
      </w:tabs>
    </w:pPr>
  </w:style>
  <w:style w:type="paragraph" w:customStyle="1" w:styleId="B4Ashurst">
    <w:name w:val="B4Ashurst"/>
    <w:basedOn w:val="NormalAshurst"/>
    <w:rsid w:val="002037DC"/>
    <w:pPr>
      <w:tabs>
        <w:tab w:val="left" w:pos="2654"/>
        <w:tab w:val="left" w:pos="3277"/>
        <w:tab w:val="left" w:pos="3901"/>
      </w:tabs>
      <w:ind w:left="2030"/>
    </w:pPr>
  </w:style>
  <w:style w:type="paragraph" w:customStyle="1" w:styleId="B5Ashurst">
    <w:name w:val="B5Ashurst"/>
    <w:basedOn w:val="NormalAshurst"/>
    <w:rsid w:val="002037DC"/>
    <w:pPr>
      <w:tabs>
        <w:tab w:val="left" w:pos="3277"/>
        <w:tab w:val="left" w:pos="3901"/>
      </w:tabs>
      <w:ind w:left="2654"/>
    </w:pPr>
  </w:style>
  <w:style w:type="paragraph" w:customStyle="1" w:styleId="B6Ashurst">
    <w:name w:val="B6Ashurst"/>
    <w:basedOn w:val="NormalAshurst"/>
    <w:rsid w:val="002037DC"/>
    <w:pPr>
      <w:tabs>
        <w:tab w:val="left" w:pos="3901"/>
      </w:tabs>
      <w:ind w:left="3277"/>
    </w:pPr>
  </w:style>
  <w:style w:type="paragraph" w:customStyle="1" w:styleId="CBOLDCAPSAshurst">
    <w:name w:val="CBOLDCAPSAshurst"/>
    <w:basedOn w:val="NormalAshurst"/>
    <w:pPr>
      <w:keepNext/>
      <w:jc w:val="center"/>
    </w:pPr>
    <w:rPr>
      <w:b/>
      <w:caps/>
    </w:rPr>
  </w:style>
  <w:style w:type="paragraph" w:customStyle="1" w:styleId="EndnoteMore">
    <w:name w:val="Endnote More"/>
    <w:basedOn w:val="FootnoteMore"/>
    <w:rsid w:val="00146CD3"/>
  </w:style>
  <w:style w:type="paragraph" w:styleId="Footer">
    <w:name w:val="footer"/>
    <w:basedOn w:val="NormalAshurst"/>
    <w:rsid w:val="000B5E2D"/>
    <w:pPr>
      <w:spacing w:after="0" w:line="200" w:lineRule="atLeast"/>
      <w:jc w:val="left"/>
    </w:pPr>
    <w:rPr>
      <w:noProof/>
      <w:sz w:val="14"/>
      <w:szCs w:val="14"/>
    </w:rPr>
  </w:style>
  <w:style w:type="paragraph" w:styleId="Header">
    <w:name w:val="header"/>
    <w:basedOn w:val="NormalAshurst"/>
    <w:rsid w:val="001E505F"/>
    <w:pPr>
      <w:spacing w:before="100" w:after="0" w:line="200" w:lineRule="exact"/>
    </w:pPr>
    <w:rPr>
      <w:noProof/>
      <w:sz w:val="14"/>
      <w:szCs w:val="14"/>
    </w:rPr>
  </w:style>
  <w:style w:type="paragraph" w:customStyle="1" w:styleId="LBOLDCAPSAshurst">
    <w:name w:val="LBOLDCAPSAshurst"/>
    <w:basedOn w:val="NormalAshurst"/>
    <w:pPr>
      <w:keepNext/>
      <w:jc w:val="left"/>
    </w:pPr>
    <w:rPr>
      <w:b/>
      <w:caps/>
    </w:rPr>
  </w:style>
  <w:style w:type="paragraph" w:customStyle="1" w:styleId="RBOLDCAPSAshurst">
    <w:name w:val="RBOLDCAPSAshurst"/>
    <w:basedOn w:val="NormalAshurst"/>
    <w:pPr>
      <w:keepNext/>
      <w:jc w:val="right"/>
    </w:pPr>
    <w:rPr>
      <w:b/>
      <w:caps/>
      <w:szCs w:val="18"/>
    </w:rPr>
  </w:style>
  <w:style w:type="paragraph" w:customStyle="1" w:styleId="SCHEDULEAshurst">
    <w:name w:val="SCHEDULEAshurst"/>
    <w:basedOn w:val="NormalAshurst"/>
    <w:next w:val="SchSubAshurst"/>
    <w:rsid w:val="003017F3"/>
    <w:pPr>
      <w:keepNext/>
      <w:numPr>
        <w:numId w:val="17"/>
      </w:numPr>
      <w:jc w:val="center"/>
      <w:outlineLvl w:val="0"/>
    </w:pPr>
    <w:rPr>
      <w:b/>
      <w:caps/>
      <w:szCs w:val="18"/>
    </w:rPr>
  </w:style>
  <w:style w:type="paragraph" w:customStyle="1" w:styleId="SchSubAshurst">
    <w:name w:val="SchSubAshurst"/>
    <w:basedOn w:val="NormalAshurst"/>
    <w:next w:val="NormalAshurst"/>
    <w:rsid w:val="00D43376"/>
    <w:pPr>
      <w:keepNext/>
      <w:jc w:val="center"/>
      <w:outlineLvl w:val="1"/>
    </w:pPr>
    <w:rPr>
      <w:b/>
    </w:rPr>
  </w:style>
  <w:style w:type="paragraph" w:customStyle="1" w:styleId="H1Ashurst">
    <w:name w:val="H1Ashurst"/>
    <w:basedOn w:val="NormalAshurst"/>
    <w:next w:val="H2Ashurst"/>
    <w:rsid w:val="0059654F"/>
    <w:pPr>
      <w:keepNext/>
      <w:numPr>
        <w:numId w:val="4"/>
      </w:numPr>
      <w:outlineLvl w:val="0"/>
    </w:pPr>
    <w:rPr>
      <w:b/>
      <w:caps/>
    </w:rPr>
  </w:style>
  <w:style w:type="paragraph" w:customStyle="1" w:styleId="H2Ashurst">
    <w:name w:val="H2Ashurst"/>
    <w:basedOn w:val="NormalAshurst"/>
    <w:rsid w:val="0059654F"/>
    <w:pPr>
      <w:numPr>
        <w:ilvl w:val="1"/>
        <w:numId w:val="4"/>
      </w:numPr>
      <w:outlineLvl w:val="1"/>
    </w:pPr>
  </w:style>
  <w:style w:type="paragraph" w:customStyle="1" w:styleId="H3Ashurst">
    <w:name w:val="H3Ashurst"/>
    <w:basedOn w:val="NormalAshurst"/>
    <w:rsid w:val="0059654F"/>
    <w:pPr>
      <w:numPr>
        <w:ilvl w:val="2"/>
        <w:numId w:val="4"/>
      </w:numPr>
      <w:outlineLvl w:val="2"/>
    </w:pPr>
  </w:style>
  <w:style w:type="paragraph" w:customStyle="1" w:styleId="H4Ashurst">
    <w:name w:val="H4Ashurst"/>
    <w:basedOn w:val="NormalAshurst"/>
    <w:rsid w:val="0059654F"/>
    <w:pPr>
      <w:numPr>
        <w:ilvl w:val="3"/>
        <w:numId w:val="4"/>
      </w:numPr>
      <w:outlineLvl w:val="3"/>
    </w:pPr>
  </w:style>
  <w:style w:type="paragraph" w:customStyle="1" w:styleId="H5Ashurst">
    <w:name w:val="H5Ashurst"/>
    <w:basedOn w:val="NormalAshurst"/>
    <w:rsid w:val="0059654F"/>
    <w:pPr>
      <w:numPr>
        <w:ilvl w:val="4"/>
        <w:numId w:val="4"/>
      </w:numPr>
      <w:outlineLvl w:val="4"/>
    </w:pPr>
  </w:style>
  <w:style w:type="paragraph" w:customStyle="1" w:styleId="H6Ashurst">
    <w:name w:val="H6Ashurst"/>
    <w:basedOn w:val="NormalAshurst"/>
    <w:rsid w:val="0059654F"/>
    <w:pPr>
      <w:numPr>
        <w:ilvl w:val="5"/>
        <w:numId w:val="4"/>
      </w:numPr>
      <w:outlineLvl w:val="5"/>
    </w:pPr>
  </w:style>
  <w:style w:type="paragraph" w:customStyle="1" w:styleId="SH1Ashurst">
    <w:name w:val="SH1Ashurst"/>
    <w:basedOn w:val="NormalAshurst"/>
    <w:next w:val="SH2Ashurst"/>
    <w:rsid w:val="0004521A"/>
    <w:pPr>
      <w:keepNext/>
      <w:numPr>
        <w:numId w:val="6"/>
      </w:numPr>
      <w:outlineLvl w:val="0"/>
    </w:pPr>
    <w:rPr>
      <w:b/>
      <w:caps/>
      <w:szCs w:val="18"/>
    </w:rPr>
  </w:style>
  <w:style w:type="paragraph" w:customStyle="1" w:styleId="SH2Ashurst">
    <w:name w:val="SH2Ashurst"/>
    <w:basedOn w:val="NormalAshurst"/>
    <w:rsid w:val="0004521A"/>
    <w:pPr>
      <w:numPr>
        <w:ilvl w:val="1"/>
        <w:numId w:val="6"/>
      </w:numPr>
      <w:outlineLvl w:val="1"/>
    </w:pPr>
  </w:style>
  <w:style w:type="paragraph" w:customStyle="1" w:styleId="SH3Ashurst">
    <w:name w:val="SH3Ashurst"/>
    <w:basedOn w:val="NormalAshurst"/>
    <w:rsid w:val="0004521A"/>
    <w:pPr>
      <w:numPr>
        <w:ilvl w:val="2"/>
        <w:numId w:val="6"/>
      </w:numPr>
      <w:outlineLvl w:val="2"/>
    </w:pPr>
  </w:style>
  <w:style w:type="paragraph" w:customStyle="1" w:styleId="SH4Ashurst">
    <w:name w:val="SH4Ashurst"/>
    <w:basedOn w:val="NormalAshurst"/>
    <w:rsid w:val="0004521A"/>
    <w:pPr>
      <w:numPr>
        <w:ilvl w:val="3"/>
        <w:numId w:val="6"/>
      </w:numPr>
      <w:outlineLvl w:val="3"/>
    </w:pPr>
  </w:style>
  <w:style w:type="paragraph" w:customStyle="1" w:styleId="SH5Ashurst">
    <w:name w:val="SH5Ashurst"/>
    <w:basedOn w:val="NormalAshurst"/>
    <w:rsid w:val="0004521A"/>
    <w:pPr>
      <w:numPr>
        <w:ilvl w:val="4"/>
        <w:numId w:val="6"/>
      </w:numPr>
      <w:outlineLvl w:val="4"/>
    </w:pPr>
  </w:style>
  <w:style w:type="paragraph" w:customStyle="1" w:styleId="AltH1Ashurst">
    <w:name w:val="AltH1Ashurst"/>
    <w:basedOn w:val="NormalAshurst"/>
    <w:rsid w:val="0059654F"/>
    <w:pPr>
      <w:numPr>
        <w:numId w:val="5"/>
      </w:numPr>
      <w:outlineLvl w:val="0"/>
    </w:pPr>
  </w:style>
  <w:style w:type="paragraph" w:customStyle="1" w:styleId="AltH2Ashurst">
    <w:name w:val="AltH2Ashurst"/>
    <w:basedOn w:val="NormalAshurst"/>
    <w:rsid w:val="0059654F"/>
    <w:pPr>
      <w:numPr>
        <w:ilvl w:val="1"/>
        <w:numId w:val="5"/>
      </w:numPr>
      <w:outlineLvl w:val="1"/>
    </w:pPr>
  </w:style>
  <w:style w:type="paragraph" w:customStyle="1" w:styleId="AltH3Ashurst">
    <w:name w:val="AltH3Ashurst"/>
    <w:basedOn w:val="NormalAshurst"/>
    <w:rsid w:val="0059654F"/>
    <w:pPr>
      <w:numPr>
        <w:ilvl w:val="2"/>
        <w:numId w:val="5"/>
      </w:numPr>
      <w:outlineLvl w:val="2"/>
    </w:pPr>
  </w:style>
  <w:style w:type="paragraph" w:customStyle="1" w:styleId="AltH4Ashurst">
    <w:name w:val="AltH4Ashurst"/>
    <w:basedOn w:val="NormalAshurst"/>
    <w:rsid w:val="0059654F"/>
    <w:pPr>
      <w:numPr>
        <w:ilvl w:val="3"/>
        <w:numId w:val="5"/>
      </w:numPr>
      <w:outlineLvl w:val="3"/>
    </w:pPr>
  </w:style>
  <w:style w:type="paragraph" w:customStyle="1" w:styleId="AltH5Ashurst">
    <w:name w:val="AltH5Ashurst"/>
    <w:basedOn w:val="NormalAshurst"/>
    <w:rsid w:val="0059654F"/>
    <w:pPr>
      <w:numPr>
        <w:ilvl w:val="4"/>
        <w:numId w:val="5"/>
      </w:numPr>
      <w:outlineLvl w:val="4"/>
    </w:pPr>
  </w:style>
  <w:style w:type="paragraph" w:customStyle="1" w:styleId="AltH6Ashurst">
    <w:name w:val="AltH6Ashurst"/>
    <w:basedOn w:val="NormalAshurst"/>
    <w:rsid w:val="0059654F"/>
    <w:pPr>
      <w:numPr>
        <w:ilvl w:val="5"/>
        <w:numId w:val="5"/>
      </w:numPr>
      <w:outlineLvl w:val="5"/>
    </w:pPr>
  </w:style>
  <w:style w:type="paragraph" w:customStyle="1" w:styleId="AltSH1Ashurst">
    <w:name w:val="AltSH1Ashurst"/>
    <w:basedOn w:val="NormalAshurst"/>
    <w:rsid w:val="00453C31"/>
    <w:pPr>
      <w:numPr>
        <w:numId w:val="7"/>
      </w:numPr>
      <w:outlineLvl w:val="0"/>
    </w:pPr>
  </w:style>
  <w:style w:type="paragraph" w:customStyle="1" w:styleId="AltSH2Ashurst">
    <w:name w:val="AltSH2Ashurst"/>
    <w:basedOn w:val="NormalAshurst"/>
    <w:rsid w:val="00453C31"/>
    <w:pPr>
      <w:numPr>
        <w:ilvl w:val="1"/>
        <w:numId w:val="7"/>
      </w:numPr>
      <w:outlineLvl w:val="1"/>
    </w:pPr>
  </w:style>
  <w:style w:type="paragraph" w:customStyle="1" w:styleId="AltSH3Ashurst">
    <w:name w:val="AltSH3Ashurst"/>
    <w:basedOn w:val="NormalAshurst"/>
    <w:rsid w:val="00453C31"/>
    <w:pPr>
      <w:numPr>
        <w:ilvl w:val="2"/>
        <w:numId w:val="7"/>
      </w:numPr>
      <w:outlineLvl w:val="2"/>
    </w:pPr>
  </w:style>
  <w:style w:type="paragraph" w:customStyle="1" w:styleId="AltSH4Ashurst">
    <w:name w:val="AltSH4Ashurst"/>
    <w:basedOn w:val="NormalAshurst"/>
    <w:rsid w:val="00453C31"/>
    <w:pPr>
      <w:numPr>
        <w:ilvl w:val="3"/>
        <w:numId w:val="7"/>
      </w:numPr>
      <w:outlineLvl w:val="3"/>
    </w:pPr>
  </w:style>
  <w:style w:type="paragraph" w:customStyle="1" w:styleId="AltSH5Ashurst">
    <w:name w:val="AltSH5Ashurst"/>
    <w:basedOn w:val="NormalAshurst"/>
    <w:rsid w:val="00453C31"/>
    <w:pPr>
      <w:numPr>
        <w:ilvl w:val="4"/>
        <w:numId w:val="7"/>
      </w:numPr>
      <w:outlineLvl w:val="4"/>
    </w:pPr>
  </w:style>
  <w:style w:type="paragraph" w:customStyle="1" w:styleId="PartiesAshurst">
    <w:name w:val="PartiesAshurst"/>
    <w:basedOn w:val="NormalAshurst"/>
    <w:rsid w:val="00D43376"/>
    <w:pPr>
      <w:numPr>
        <w:numId w:val="1"/>
      </w:numPr>
      <w:outlineLvl w:val="0"/>
    </w:pPr>
  </w:style>
  <w:style w:type="paragraph" w:customStyle="1" w:styleId="RecitalsAshurst">
    <w:name w:val="RecitalsAshurst"/>
    <w:basedOn w:val="NormalAshurst"/>
    <w:rsid w:val="007007F6"/>
    <w:pPr>
      <w:numPr>
        <w:numId w:val="19"/>
      </w:numPr>
      <w:outlineLvl w:val="0"/>
    </w:pPr>
  </w:style>
  <w:style w:type="paragraph" w:customStyle="1" w:styleId="DefinitionsAshurst">
    <w:name w:val="DefinitionsAshurst"/>
    <w:basedOn w:val="NormalAshurst"/>
    <w:rsid w:val="00B156B6"/>
    <w:pPr>
      <w:numPr>
        <w:ilvl w:val="1"/>
        <w:numId w:val="27"/>
      </w:numPr>
      <w:outlineLvl w:val="1"/>
    </w:pPr>
  </w:style>
  <w:style w:type="paragraph" w:customStyle="1" w:styleId="DefSubAshurst">
    <w:name w:val="DefSubAshurst"/>
    <w:basedOn w:val="NormalAshurst"/>
    <w:rsid w:val="00B156B6"/>
    <w:pPr>
      <w:numPr>
        <w:ilvl w:val="2"/>
        <w:numId w:val="27"/>
      </w:numPr>
      <w:outlineLvl w:val="2"/>
    </w:pPr>
  </w:style>
  <w:style w:type="paragraph" w:customStyle="1" w:styleId="Bullet1Ashurst">
    <w:name w:val="Bullet1Ashurst"/>
    <w:basedOn w:val="NormalAshurst"/>
    <w:rsid w:val="00EE4824"/>
    <w:pPr>
      <w:numPr>
        <w:numId w:val="9"/>
      </w:numPr>
    </w:pPr>
  </w:style>
  <w:style w:type="paragraph" w:customStyle="1" w:styleId="Bullet2Ashurst">
    <w:name w:val="Bullet2Ashurst"/>
    <w:basedOn w:val="NormalAshurst"/>
    <w:rsid w:val="00EE4824"/>
    <w:pPr>
      <w:numPr>
        <w:numId w:val="10"/>
      </w:numPr>
    </w:pPr>
  </w:style>
  <w:style w:type="paragraph" w:customStyle="1" w:styleId="Bullet3Ashurst">
    <w:name w:val="Bullet3Ashurst"/>
    <w:basedOn w:val="NormalAshurst"/>
    <w:rsid w:val="00EE4824"/>
    <w:pPr>
      <w:numPr>
        <w:numId w:val="11"/>
      </w:numPr>
    </w:pPr>
  </w:style>
  <w:style w:type="paragraph" w:customStyle="1" w:styleId="Bullet4Ashurst">
    <w:name w:val="Bullet4Ashurst"/>
    <w:basedOn w:val="NormalAshurst"/>
    <w:rsid w:val="00EE4824"/>
    <w:pPr>
      <w:numPr>
        <w:numId w:val="12"/>
      </w:numPr>
    </w:pPr>
  </w:style>
  <w:style w:type="paragraph" w:customStyle="1" w:styleId="Bullet5Ashurst">
    <w:name w:val="Bullet5Ashurst"/>
    <w:basedOn w:val="NormalAshurst"/>
    <w:rsid w:val="003035B5"/>
    <w:pPr>
      <w:numPr>
        <w:numId w:val="13"/>
      </w:numPr>
    </w:pPr>
  </w:style>
  <w:style w:type="paragraph" w:customStyle="1" w:styleId="Bullet6Ashurst">
    <w:name w:val="Bullet6Ashurst"/>
    <w:basedOn w:val="NormalAshurst"/>
    <w:rsid w:val="00EE4824"/>
    <w:pPr>
      <w:numPr>
        <w:numId w:val="14"/>
      </w:numPr>
    </w:pPr>
  </w:style>
  <w:style w:type="character" w:styleId="CommentReference">
    <w:name w:val="annotation reference"/>
    <w:rsid w:val="00713D2B"/>
    <w:rPr>
      <w:rFonts w:ascii="Verdana" w:hAnsi="Verdana"/>
      <w:sz w:val="14"/>
      <w:szCs w:val="14"/>
    </w:rPr>
  </w:style>
  <w:style w:type="paragraph" w:styleId="CommentText">
    <w:name w:val="annotation text"/>
    <w:basedOn w:val="NormalAshurst"/>
    <w:rsid w:val="00146CD3"/>
    <w:pPr>
      <w:spacing w:after="0"/>
      <w:jc w:val="left"/>
    </w:pPr>
    <w:rPr>
      <w:sz w:val="14"/>
      <w:szCs w:val="14"/>
    </w:rPr>
  </w:style>
  <w:style w:type="paragraph" w:styleId="CommentSubject">
    <w:name w:val="annotation subject"/>
    <w:basedOn w:val="CommentText"/>
    <w:next w:val="CommentText"/>
    <w:rsid w:val="00713D2B"/>
    <w:rPr>
      <w:b/>
      <w:bCs/>
    </w:rPr>
  </w:style>
  <w:style w:type="character" w:styleId="EndnoteReference">
    <w:name w:val="endnote reference"/>
    <w:rsid w:val="00713D2B"/>
    <w:rPr>
      <w:rFonts w:ascii="Verdana" w:hAnsi="Verdana"/>
      <w:sz w:val="14"/>
      <w:szCs w:val="14"/>
      <w:vertAlign w:val="superscript"/>
    </w:rPr>
  </w:style>
  <w:style w:type="paragraph" w:styleId="EndnoteText">
    <w:name w:val="endnote text"/>
    <w:basedOn w:val="FootnoteText"/>
    <w:next w:val="EndnoteMore"/>
    <w:rsid w:val="002F17AD"/>
  </w:style>
  <w:style w:type="paragraph" w:styleId="FootnoteText">
    <w:name w:val="footnote text"/>
    <w:basedOn w:val="NormalAshurst"/>
    <w:next w:val="FootnoteMore"/>
    <w:rsid w:val="003B1A31"/>
    <w:pPr>
      <w:widowControl w:val="0"/>
      <w:tabs>
        <w:tab w:val="left" w:pos="782"/>
        <w:tab w:val="left" w:pos="1406"/>
        <w:tab w:val="left" w:pos="2030"/>
      </w:tabs>
      <w:spacing w:after="100" w:line="200" w:lineRule="atLeast"/>
      <w:ind w:left="782" w:hanging="782"/>
    </w:pPr>
    <w:rPr>
      <w:sz w:val="14"/>
      <w:szCs w:val="14"/>
    </w:rPr>
  </w:style>
  <w:style w:type="paragraph" w:customStyle="1" w:styleId="FootnoteMore">
    <w:name w:val="Footnote More"/>
    <w:basedOn w:val="FootnoteText"/>
    <w:rsid w:val="002F17AD"/>
    <w:pPr>
      <w:ind w:firstLine="0"/>
    </w:pPr>
  </w:style>
  <w:style w:type="paragraph" w:customStyle="1" w:styleId="TableAshurst">
    <w:name w:val="TableAshurst"/>
    <w:basedOn w:val="NormalAshurst"/>
    <w:rsid w:val="003035B5"/>
    <w:pPr>
      <w:spacing w:before="110" w:after="110"/>
    </w:pPr>
  </w:style>
  <w:style w:type="paragraph" w:customStyle="1" w:styleId="APPENDIXAshurst">
    <w:name w:val="APPENDIXAshurst"/>
    <w:basedOn w:val="NormalAshurst"/>
    <w:next w:val="AppendixSubAshurst"/>
    <w:rsid w:val="00632DD1"/>
    <w:pPr>
      <w:keepNext/>
      <w:numPr>
        <w:numId w:val="16"/>
      </w:numPr>
      <w:jc w:val="center"/>
      <w:outlineLvl w:val="0"/>
    </w:pPr>
    <w:rPr>
      <w:b/>
      <w:caps/>
      <w:szCs w:val="18"/>
    </w:rPr>
  </w:style>
  <w:style w:type="paragraph" w:customStyle="1" w:styleId="AppendixSubAshurst">
    <w:name w:val="AppendixSubAshurst"/>
    <w:basedOn w:val="NormalAshurst"/>
    <w:next w:val="NormalAshurst"/>
    <w:rsid w:val="00D43376"/>
    <w:pPr>
      <w:keepNext/>
      <w:jc w:val="center"/>
      <w:outlineLvl w:val="1"/>
    </w:pPr>
    <w:rPr>
      <w:b/>
    </w:rPr>
  </w:style>
  <w:style w:type="paragraph" w:styleId="Index1">
    <w:name w:val="index 1"/>
    <w:basedOn w:val="NormalAshurst"/>
    <w:rsid w:val="002F0CC5"/>
  </w:style>
  <w:style w:type="paragraph" w:styleId="Index2">
    <w:name w:val="index 2"/>
    <w:basedOn w:val="NormalAshurst"/>
    <w:semiHidden/>
    <w:pPr>
      <w:tabs>
        <w:tab w:val="left" w:pos="782"/>
      </w:tabs>
    </w:pPr>
  </w:style>
  <w:style w:type="paragraph" w:customStyle="1" w:styleId="B12Ashurst">
    <w:name w:val="B1&amp;2Ashurst"/>
    <w:basedOn w:val="NormalAshurst"/>
    <w:rsid w:val="002037DC"/>
    <w:pPr>
      <w:tabs>
        <w:tab w:val="left" w:pos="1406"/>
        <w:tab w:val="left" w:pos="2030"/>
        <w:tab w:val="left" w:pos="2654"/>
        <w:tab w:val="left" w:pos="3277"/>
        <w:tab w:val="left" w:pos="3901"/>
      </w:tabs>
      <w:ind w:left="782"/>
    </w:pPr>
  </w:style>
  <w:style w:type="paragraph" w:styleId="TOC1">
    <w:name w:val="toc 1"/>
    <w:basedOn w:val="NormalAshurst"/>
    <w:rsid w:val="0036458D"/>
    <w:pPr>
      <w:tabs>
        <w:tab w:val="left" w:pos="782"/>
        <w:tab w:val="right" w:leader="dot" w:pos="9072"/>
      </w:tabs>
      <w:spacing w:after="0"/>
      <w:ind w:left="782" w:hanging="782"/>
    </w:pPr>
    <w:rPr>
      <w:caps/>
      <w:noProof/>
      <w:szCs w:val="18"/>
    </w:rPr>
  </w:style>
  <w:style w:type="paragraph" w:styleId="TOC2">
    <w:name w:val="toc 2"/>
    <w:basedOn w:val="TOC1"/>
    <w:rsid w:val="005B3DB2"/>
    <w:rPr>
      <w:caps w:val="0"/>
    </w:rPr>
  </w:style>
  <w:style w:type="paragraph" w:styleId="DocumentMap">
    <w:name w:val="Document Map"/>
    <w:basedOn w:val="NormalAshurst"/>
    <w:rsid w:val="00BF4C90"/>
    <w:pPr>
      <w:shd w:val="clear" w:color="auto" w:fill="000080"/>
    </w:pPr>
    <w:rPr>
      <w:rFonts w:ascii="Tahoma" w:hAnsi="Tahoma" w:cs="Tahoma"/>
    </w:rPr>
  </w:style>
  <w:style w:type="character" w:styleId="FootnoteReference">
    <w:name w:val="footnote reference"/>
    <w:rsid w:val="0096008F"/>
    <w:rPr>
      <w:rFonts w:ascii="Verdana" w:hAnsi="Verdana"/>
      <w:sz w:val="14"/>
      <w:szCs w:val="14"/>
      <w:vertAlign w:val="superscript"/>
    </w:rPr>
  </w:style>
  <w:style w:type="paragraph" w:customStyle="1" w:styleId="BulletAshurst">
    <w:name w:val="BulletAshurst"/>
    <w:basedOn w:val="NormalAshurst"/>
    <w:rsid w:val="00D04849"/>
    <w:pPr>
      <w:numPr>
        <w:numId w:val="15"/>
      </w:numPr>
    </w:pPr>
    <w:rPr>
      <w:szCs w:val="18"/>
    </w:rPr>
  </w:style>
  <w:style w:type="paragraph" w:styleId="TOC3">
    <w:name w:val="toc 3"/>
    <w:basedOn w:val="TOC1"/>
    <w:rsid w:val="00146CD3"/>
    <w:pPr>
      <w:tabs>
        <w:tab w:val="clear" w:pos="782"/>
      </w:tabs>
      <w:ind w:left="0" w:firstLine="0"/>
    </w:pPr>
  </w:style>
  <w:style w:type="paragraph" w:styleId="TOC4">
    <w:name w:val="toc 4"/>
    <w:basedOn w:val="TOC1"/>
    <w:rsid w:val="00146CD3"/>
    <w:pPr>
      <w:tabs>
        <w:tab w:val="clear" w:pos="782"/>
      </w:tabs>
      <w:ind w:left="0" w:firstLine="0"/>
    </w:pPr>
    <w:rPr>
      <w:caps w:val="0"/>
    </w:rPr>
  </w:style>
  <w:style w:type="paragraph" w:customStyle="1" w:styleId="TOCSubHeadingAshurst">
    <w:name w:val="TOCSubHeadingAshurst"/>
    <w:basedOn w:val="CBOLDCAPSAshurst"/>
    <w:next w:val="NormalAshurst"/>
    <w:rsid w:val="00D43376"/>
    <w:pPr>
      <w:tabs>
        <w:tab w:val="right" w:pos="9072"/>
      </w:tabs>
      <w:jc w:val="left"/>
      <w:outlineLvl w:val="0"/>
    </w:pPr>
  </w:style>
  <w:style w:type="character" w:customStyle="1" w:styleId="HiddenAshurst">
    <w:name w:val="HiddenAshurst"/>
    <w:rsid w:val="00A245FA"/>
    <w:rPr>
      <w:rFonts w:ascii="Verdana" w:hAnsi="Verdana"/>
      <w:vanish/>
      <w:color w:val="FF0000"/>
    </w:rPr>
  </w:style>
  <w:style w:type="paragraph" w:customStyle="1" w:styleId="StandardBoldAshurst">
    <w:name w:val="StandardBoldAshurst"/>
    <w:basedOn w:val="StandardAshurst"/>
    <w:next w:val="NormalAshurst"/>
    <w:rsid w:val="005B3DB2"/>
    <w:rPr>
      <w:b/>
      <w:szCs w:val="18"/>
    </w:rPr>
  </w:style>
  <w:style w:type="paragraph" w:styleId="EnvelopeReturn">
    <w:name w:val="envelope return"/>
    <w:basedOn w:val="StandardAshurst"/>
    <w:rsid w:val="00A47D07"/>
    <w:pPr>
      <w:spacing w:line="200" w:lineRule="atLeast"/>
      <w:jc w:val="left"/>
    </w:pPr>
    <w:rPr>
      <w:rFonts w:cs="Arial"/>
      <w:sz w:val="14"/>
      <w:szCs w:val="14"/>
    </w:rPr>
  </w:style>
  <w:style w:type="paragraph" w:customStyle="1" w:styleId="BN36ptBeforeAshurst">
    <w:name w:val="BN36ptBeforeAshurst"/>
    <w:basedOn w:val="NormalAshurst"/>
    <w:rsid w:val="00901FB9"/>
    <w:pPr>
      <w:spacing w:before="720" w:after="0"/>
    </w:pPr>
    <w:rPr>
      <w:szCs w:val="18"/>
    </w:rPr>
  </w:style>
  <w:style w:type="paragraph" w:customStyle="1" w:styleId="BN45ptBeforeAshurst">
    <w:name w:val="BN45ptBeforeAshurst"/>
    <w:basedOn w:val="NormalAshurst"/>
    <w:next w:val="NormalAshurst"/>
    <w:rsid w:val="00901FB9"/>
    <w:pPr>
      <w:spacing w:before="900" w:after="0"/>
    </w:pPr>
  </w:style>
  <w:style w:type="paragraph" w:customStyle="1" w:styleId="BNDocTypeAshurst">
    <w:name w:val="BNDocTypeAshurst"/>
    <w:basedOn w:val="Normal"/>
    <w:next w:val="StandardAshurst"/>
    <w:rsid w:val="00BA6443"/>
    <w:pPr>
      <w:suppressAutoHyphens/>
      <w:spacing w:before="1120" w:after="860"/>
      <w:jc w:val="left"/>
    </w:pPr>
    <w:rPr>
      <w:rFonts w:eastAsia="MS Mincho"/>
      <w:b/>
      <w:sz w:val="24"/>
      <w:szCs w:val="24"/>
    </w:rPr>
  </w:style>
  <w:style w:type="paragraph" w:customStyle="1" w:styleId="BNHealthWarningAshurst">
    <w:name w:val="BNHealthWarningAshurst"/>
    <w:basedOn w:val="NormalAshurst"/>
    <w:next w:val="StandardAshurst"/>
    <w:rsid w:val="00901FB9"/>
    <w:pPr>
      <w:spacing w:after="200"/>
    </w:pPr>
    <w:rPr>
      <w:b/>
      <w:sz w:val="16"/>
      <w:szCs w:val="16"/>
    </w:rPr>
  </w:style>
  <w:style w:type="paragraph" w:customStyle="1" w:styleId="BNTable1Ashurst">
    <w:name w:val="BNTable1Ashurst"/>
    <w:basedOn w:val="TableAshurst"/>
    <w:rsid w:val="00901FB9"/>
    <w:pPr>
      <w:spacing w:before="120" w:after="120"/>
    </w:pPr>
    <w:rPr>
      <w:sz w:val="14"/>
      <w:szCs w:val="14"/>
    </w:rPr>
  </w:style>
  <w:style w:type="paragraph" w:customStyle="1" w:styleId="BNTable2Ashurst">
    <w:name w:val="BNTable2Ashurst"/>
    <w:basedOn w:val="BNTable1Ashurst"/>
    <w:rsid w:val="00901FB9"/>
    <w:pPr>
      <w:ind w:left="108"/>
      <w:jc w:val="left"/>
    </w:pPr>
  </w:style>
  <w:style w:type="paragraph" w:customStyle="1" w:styleId="BNTitle22Ashurst">
    <w:name w:val="BNTitle22Ashurst"/>
    <w:basedOn w:val="NormalAshurst"/>
    <w:rsid w:val="00901FB9"/>
    <w:pPr>
      <w:spacing w:after="0"/>
      <w:jc w:val="left"/>
    </w:pPr>
    <w:rPr>
      <w:sz w:val="44"/>
      <w:szCs w:val="44"/>
    </w:rPr>
  </w:style>
  <w:style w:type="paragraph" w:customStyle="1" w:styleId="CSSubTitleAshurst">
    <w:name w:val="CSSubTitleAshurst"/>
    <w:basedOn w:val="NormalAshurst"/>
    <w:next w:val="NormalAshurst"/>
    <w:rsid w:val="00901FB9"/>
    <w:pPr>
      <w:keepNext/>
      <w:jc w:val="left"/>
    </w:pPr>
    <w:rPr>
      <w:sz w:val="32"/>
    </w:rPr>
  </w:style>
  <w:style w:type="paragraph" w:customStyle="1" w:styleId="CSTitleAshurst">
    <w:name w:val="CSTitleAshurst"/>
    <w:basedOn w:val="NormalAshurst"/>
    <w:next w:val="NormalAshurst"/>
    <w:rsid w:val="00396EF0"/>
    <w:pPr>
      <w:spacing w:before="1240" w:after="840"/>
      <w:jc w:val="left"/>
    </w:pPr>
    <w:rPr>
      <w:sz w:val="42"/>
    </w:rPr>
  </w:style>
  <w:style w:type="paragraph" w:customStyle="1" w:styleId="CSTxtAshurst">
    <w:name w:val="CSTxtAshurst"/>
    <w:basedOn w:val="NormalAshurst"/>
    <w:next w:val="NormalAshurst"/>
    <w:rsid w:val="00901FB9"/>
    <w:pPr>
      <w:jc w:val="left"/>
    </w:pPr>
    <w:rPr>
      <w:sz w:val="24"/>
      <w:szCs w:val="24"/>
    </w:rPr>
  </w:style>
  <w:style w:type="paragraph" w:customStyle="1" w:styleId="MACompaniesAshurst">
    <w:name w:val="M&amp;ACompaniesAshurst"/>
    <w:basedOn w:val="CSTxtAshurst"/>
    <w:rsid w:val="009A14C5"/>
    <w:pPr>
      <w:spacing w:before="1320" w:after="0"/>
    </w:pPr>
  </w:style>
  <w:style w:type="paragraph" w:customStyle="1" w:styleId="MATitle22Ashurst">
    <w:name w:val="M&amp;ATitle22Ashurst"/>
    <w:basedOn w:val="BNTitle22Ashurst"/>
    <w:rsid w:val="00365DB9"/>
    <w:pPr>
      <w:spacing w:before="480" w:after="400"/>
    </w:pPr>
  </w:style>
  <w:style w:type="paragraph" w:customStyle="1" w:styleId="ParticularsTableAshurst">
    <w:name w:val="ParticularsTableAshurst"/>
    <w:basedOn w:val="TableAshurst"/>
    <w:rsid w:val="00901FB9"/>
    <w:pPr>
      <w:jc w:val="left"/>
    </w:pPr>
  </w:style>
  <w:style w:type="paragraph" w:customStyle="1" w:styleId="SDBoldItalicsAshurst">
    <w:name w:val="SDBoldItalicsAshurst"/>
    <w:basedOn w:val="B12Ashurst"/>
    <w:rsid w:val="00901FB9"/>
    <w:rPr>
      <w:b/>
      <w:i/>
    </w:rPr>
  </w:style>
  <w:style w:type="paragraph" w:customStyle="1" w:styleId="SDDocTypeAshurst">
    <w:name w:val="SDDocTypeAshurst"/>
    <w:basedOn w:val="BNDocTypeAshurst"/>
    <w:next w:val="StandardAshurst"/>
    <w:rsid w:val="00901FB9"/>
  </w:style>
  <w:style w:type="paragraph" w:customStyle="1" w:styleId="SDTitle22Ashurst">
    <w:name w:val="SDTitle22Ashurst"/>
    <w:basedOn w:val="BNTitle22Ashurst"/>
    <w:next w:val="StandardAshurst"/>
    <w:rsid w:val="00901FB9"/>
    <w:rPr>
      <w:b/>
    </w:rPr>
  </w:style>
  <w:style w:type="paragraph" w:customStyle="1" w:styleId="BN20ptBeforeAshurst">
    <w:name w:val="BN20ptBeforeAshurst"/>
    <w:basedOn w:val="NormalAshurst"/>
    <w:next w:val="NormalAshurst"/>
    <w:rsid w:val="00FC291E"/>
    <w:pPr>
      <w:spacing w:before="400" w:after="0"/>
    </w:pPr>
  </w:style>
  <w:style w:type="paragraph" w:customStyle="1" w:styleId="NormalBoldAshurst">
    <w:name w:val="NormalBoldAshurst"/>
    <w:basedOn w:val="NormalAshurst"/>
    <w:next w:val="NormalAshurst"/>
    <w:rsid w:val="00377A54"/>
    <w:rPr>
      <w:b/>
      <w:szCs w:val="18"/>
    </w:rPr>
  </w:style>
  <w:style w:type="paragraph" w:customStyle="1" w:styleId="TableNum1Ashurst">
    <w:name w:val="TableNum1Ashurst"/>
    <w:basedOn w:val="TableAshurst"/>
    <w:rsid w:val="0073305C"/>
    <w:pPr>
      <w:numPr>
        <w:numId w:val="18"/>
      </w:numPr>
      <w:outlineLvl w:val="0"/>
    </w:pPr>
  </w:style>
  <w:style w:type="paragraph" w:customStyle="1" w:styleId="AltRecitalsAshurst">
    <w:name w:val="AltRecitalsAshurst"/>
    <w:basedOn w:val="RecitalsAshurst"/>
    <w:rsid w:val="003B1A31"/>
    <w:pPr>
      <w:numPr>
        <w:numId w:val="2"/>
      </w:numPr>
    </w:pPr>
  </w:style>
  <w:style w:type="paragraph" w:customStyle="1" w:styleId="LBItalicsAshurst">
    <w:name w:val="LBItalicsAshurst"/>
    <w:basedOn w:val="NormalAshurst"/>
    <w:next w:val="NormalAshurst"/>
    <w:rsid w:val="00252D7F"/>
    <w:pPr>
      <w:keepNext/>
    </w:pPr>
    <w:rPr>
      <w:b/>
      <w:i/>
    </w:rPr>
  </w:style>
  <w:style w:type="paragraph" w:customStyle="1" w:styleId="TableNum2Ashurst">
    <w:name w:val="TableNum2Ashurst"/>
    <w:basedOn w:val="TableAshurst"/>
    <w:rsid w:val="0073305C"/>
    <w:pPr>
      <w:numPr>
        <w:ilvl w:val="1"/>
        <w:numId w:val="18"/>
      </w:numPr>
      <w:outlineLvl w:val="1"/>
    </w:pPr>
  </w:style>
  <w:style w:type="table" w:styleId="TableGrid">
    <w:name w:val="Table Grid"/>
    <w:basedOn w:val="TableNormal"/>
    <w:rsid w:val="0073305C"/>
    <w:pPr>
      <w:spacing w:line="264"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Num3Ashurst">
    <w:name w:val="TableNum3Ashurst"/>
    <w:basedOn w:val="TableAshurst"/>
    <w:rsid w:val="0073305C"/>
    <w:pPr>
      <w:numPr>
        <w:ilvl w:val="2"/>
        <w:numId w:val="18"/>
      </w:numPr>
    </w:pPr>
  </w:style>
  <w:style w:type="paragraph" w:customStyle="1" w:styleId="TableNum4Ashurst">
    <w:name w:val="TableNum4Ashurst"/>
    <w:basedOn w:val="TableAshurst"/>
    <w:rsid w:val="0073305C"/>
    <w:pPr>
      <w:numPr>
        <w:ilvl w:val="3"/>
        <w:numId w:val="18"/>
      </w:numPr>
    </w:pPr>
  </w:style>
  <w:style w:type="paragraph" w:customStyle="1" w:styleId="TableNum5Ashurst">
    <w:name w:val="TableNum5Ashurst"/>
    <w:basedOn w:val="TableAshurst"/>
    <w:rsid w:val="0073305C"/>
    <w:pPr>
      <w:numPr>
        <w:ilvl w:val="4"/>
        <w:numId w:val="18"/>
      </w:numPr>
    </w:pPr>
  </w:style>
  <w:style w:type="paragraph" w:customStyle="1" w:styleId="TableNum6Ashurst">
    <w:name w:val="TableNum6Ashurst"/>
    <w:basedOn w:val="TableAshurst"/>
    <w:rsid w:val="0073305C"/>
    <w:pPr>
      <w:numPr>
        <w:ilvl w:val="5"/>
        <w:numId w:val="18"/>
      </w:numPr>
    </w:pPr>
  </w:style>
  <w:style w:type="paragraph" w:customStyle="1" w:styleId="DefinitionsClauseAshurst">
    <w:name w:val="DefinitionsClauseAshurst"/>
    <w:basedOn w:val="NormalAshurst"/>
    <w:rsid w:val="00B156B6"/>
    <w:pPr>
      <w:numPr>
        <w:numId w:val="27"/>
      </w:numPr>
      <w:outlineLvl w:val="0"/>
    </w:pPr>
  </w:style>
  <w:style w:type="paragraph" w:customStyle="1" w:styleId="AltH7Ashurst">
    <w:name w:val="AltH7Ashurst"/>
    <w:basedOn w:val="NormalAshurst"/>
    <w:rsid w:val="0059654F"/>
    <w:pPr>
      <w:numPr>
        <w:ilvl w:val="6"/>
        <w:numId w:val="5"/>
      </w:numPr>
      <w:outlineLvl w:val="6"/>
    </w:pPr>
  </w:style>
  <w:style w:type="paragraph" w:customStyle="1" w:styleId="AltH8Ashurst">
    <w:name w:val="AltH8Ashurst"/>
    <w:basedOn w:val="NormalAshurst"/>
    <w:rsid w:val="0059654F"/>
    <w:pPr>
      <w:numPr>
        <w:ilvl w:val="7"/>
        <w:numId w:val="5"/>
      </w:numPr>
      <w:outlineLvl w:val="7"/>
    </w:pPr>
  </w:style>
  <w:style w:type="paragraph" w:customStyle="1" w:styleId="H7Ashurst">
    <w:name w:val="H7Ashurst"/>
    <w:basedOn w:val="NormalAshurst"/>
    <w:rsid w:val="0059654F"/>
    <w:pPr>
      <w:numPr>
        <w:ilvl w:val="6"/>
        <w:numId w:val="4"/>
      </w:numPr>
      <w:outlineLvl w:val="6"/>
    </w:pPr>
  </w:style>
  <w:style w:type="paragraph" w:customStyle="1" w:styleId="H8Ashurst">
    <w:name w:val="H8Ashurst"/>
    <w:basedOn w:val="NormalAshurst"/>
    <w:rsid w:val="0059654F"/>
    <w:pPr>
      <w:numPr>
        <w:ilvl w:val="7"/>
        <w:numId w:val="4"/>
      </w:numPr>
      <w:outlineLvl w:val="7"/>
    </w:pPr>
  </w:style>
  <w:style w:type="paragraph" w:customStyle="1" w:styleId="B7Ashurst">
    <w:name w:val="B7Ashurst"/>
    <w:basedOn w:val="NormalAshurst"/>
    <w:rsid w:val="0059654F"/>
    <w:pPr>
      <w:tabs>
        <w:tab w:val="left" w:pos="4525"/>
      </w:tabs>
      <w:ind w:left="3901"/>
    </w:pPr>
  </w:style>
  <w:style w:type="paragraph" w:customStyle="1" w:styleId="B8Ashurst">
    <w:name w:val="B8Ashurst"/>
    <w:basedOn w:val="NormalAshurst"/>
    <w:rsid w:val="00F41036"/>
    <w:pPr>
      <w:tabs>
        <w:tab w:val="left" w:pos="5148"/>
      </w:tabs>
      <w:ind w:left="4525"/>
    </w:pPr>
  </w:style>
  <w:style w:type="paragraph" w:customStyle="1" w:styleId="Outline1">
    <w:name w:val="Outline 1"/>
    <w:basedOn w:val="Normal"/>
    <w:rsid w:val="00C619C4"/>
    <w:pPr>
      <w:numPr>
        <w:numId w:val="31"/>
      </w:numPr>
      <w:spacing w:before="120" w:after="120" w:line="240" w:lineRule="auto"/>
    </w:pPr>
    <w:rPr>
      <w:rFonts w:ascii="Times New Roman" w:hAnsi="Times New Roman"/>
      <w:sz w:val="24"/>
      <w:szCs w:val="20"/>
      <w:lang w:eastAsia="en-US"/>
    </w:rPr>
  </w:style>
  <w:style w:type="paragraph" w:customStyle="1" w:styleId="Outline2">
    <w:name w:val="Outline 2"/>
    <w:basedOn w:val="Outline1"/>
    <w:rsid w:val="00C619C4"/>
    <w:pPr>
      <w:numPr>
        <w:ilvl w:val="1"/>
      </w:numPr>
    </w:pPr>
  </w:style>
  <w:style w:type="character" w:styleId="Hyperlink">
    <w:name w:val="Hyperlink"/>
    <w:rsid w:val="00C619C4"/>
    <w:rPr>
      <w:color w:val="0000FF"/>
      <w:u w:val="single"/>
    </w:rPr>
  </w:style>
  <w:style w:type="paragraph" w:customStyle="1" w:styleId="para">
    <w:name w:val="para"/>
    <w:uiPriority w:val="99"/>
    <w:rsid w:val="0039476C"/>
    <w:pPr>
      <w:spacing w:before="120" w:after="120"/>
      <w:jc w:val="both"/>
    </w:pPr>
    <w:rPr>
      <w:sz w:val="24"/>
      <w:lang w:eastAsia="en-US"/>
    </w:rPr>
  </w:style>
  <w:style w:type="paragraph" w:customStyle="1" w:styleId="Default">
    <w:name w:val="Default"/>
    <w:rsid w:val="000A50F9"/>
    <w:pPr>
      <w:autoSpaceDE w:val="0"/>
      <w:autoSpaceDN w:val="0"/>
      <w:adjustRightInd w:val="0"/>
    </w:pPr>
    <w:rPr>
      <w:color w:val="000000"/>
      <w:sz w:val="24"/>
      <w:szCs w:val="24"/>
    </w:rPr>
  </w:style>
  <w:style w:type="paragraph" w:styleId="BalloonText">
    <w:name w:val="Balloon Text"/>
    <w:basedOn w:val="Normal"/>
    <w:link w:val="BalloonTextChar"/>
    <w:rsid w:val="00785624"/>
    <w:pPr>
      <w:spacing w:line="240" w:lineRule="auto"/>
    </w:pPr>
    <w:rPr>
      <w:rFonts w:ascii="Segoe UI" w:hAnsi="Segoe UI" w:cs="Segoe UI"/>
    </w:rPr>
  </w:style>
  <w:style w:type="character" w:customStyle="1" w:styleId="BalloonTextChar">
    <w:name w:val="Balloon Text Char"/>
    <w:link w:val="BalloonText"/>
    <w:rsid w:val="00785624"/>
    <w:rPr>
      <w:rFonts w:ascii="Segoe UI" w:hAnsi="Segoe UI" w:cs="Segoe UI"/>
      <w:sz w:val="18"/>
      <w:szCs w:val="18"/>
    </w:rPr>
  </w:style>
  <w:style w:type="paragraph" w:customStyle="1" w:styleId="Header1">
    <w:name w:val="Header1"/>
    <w:qFormat/>
    <w:rsid w:val="008C546B"/>
    <w:pPr>
      <w:tabs>
        <w:tab w:val="left" w:pos="360"/>
      </w:tabs>
      <w:suppressAutoHyphens/>
      <w:spacing w:before="226" w:after="56"/>
      <w:ind w:left="170"/>
      <w:textAlignment w:val="baseline"/>
    </w:pPr>
    <w:rPr>
      <w:b/>
      <w:color w:val="262526"/>
      <w:lang w:val="en-US" w:eastAsia="en-US" w:bidi="en-US"/>
    </w:rPr>
  </w:style>
  <w:style w:type="paragraph" w:customStyle="1" w:styleId="MainText">
    <w:name w:val="Main Text"/>
    <w:qFormat/>
    <w:rsid w:val="008C546B"/>
    <w:pPr>
      <w:suppressAutoHyphens/>
      <w:spacing w:before="56" w:line="240" w:lineRule="exact"/>
      <w:jc w:val="both"/>
      <w:textAlignment w:val="baseline"/>
    </w:pPr>
    <w:rPr>
      <w:color w:val="262526"/>
      <w:lang w:bidi="en-GB"/>
    </w:rPr>
  </w:style>
  <w:style w:type="paragraph" w:customStyle="1" w:styleId="Bullets">
    <w:name w:val="Bullets"/>
    <w:qFormat/>
    <w:rsid w:val="008C546B"/>
    <w:pPr>
      <w:tabs>
        <w:tab w:val="left" w:pos="453"/>
      </w:tabs>
      <w:spacing w:before="56" w:line="240" w:lineRule="exact"/>
      <w:ind w:left="340" w:hanging="340"/>
      <w:jc w:val="both"/>
      <w:textAlignment w:val="baseline"/>
    </w:pPr>
    <w:rPr>
      <w:color w:val="262526"/>
      <w:lang w:bidi="en-GB"/>
    </w:rPr>
  </w:style>
  <w:style w:type="paragraph" w:styleId="Revision">
    <w:name w:val="Revision"/>
    <w:hidden/>
    <w:uiPriority w:val="99"/>
    <w:semiHidden/>
    <w:rsid w:val="00DA191B"/>
    <w:rPr>
      <w:rFonts w:ascii="Verdana" w:hAnsi="Verdana"/>
      <w:sz w:val="18"/>
      <w:szCs w:val="18"/>
    </w:rPr>
  </w:style>
  <w:style w:type="character" w:customStyle="1" w:styleId="UnresolvedMention1">
    <w:name w:val="Unresolved Mention1"/>
    <w:basedOn w:val="DefaultParagraphFont"/>
    <w:uiPriority w:val="99"/>
    <w:semiHidden/>
    <w:unhideWhenUsed/>
    <w:rsid w:val="00342AC6"/>
    <w:rPr>
      <w:color w:val="605E5C"/>
      <w:shd w:val="clear" w:color="auto" w:fill="E1DFDD"/>
    </w:rPr>
  </w:style>
  <w:style w:type="paragraph" w:customStyle="1" w:styleId="Bio">
    <w:name w:val="Bio"/>
    <w:basedOn w:val="Normal"/>
    <w:uiPriority w:val="99"/>
    <w:rsid w:val="00342AC6"/>
    <w:pPr>
      <w:suppressAutoHyphens/>
      <w:autoSpaceDE w:val="0"/>
      <w:autoSpaceDN w:val="0"/>
      <w:adjustRightInd w:val="0"/>
      <w:spacing w:line="288" w:lineRule="auto"/>
      <w:textAlignment w:val="center"/>
    </w:pPr>
    <w:rPr>
      <w:rFonts w:ascii="Times New Roman" w:hAnsi="Times New Roman"/>
      <w:color w:val="000000"/>
      <w:sz w:val="20"/>
      <w:szCs w:val="20"/>
    </w:rPr>
  </w:style>
  <w:style w:type="paragraph" w:customStyle="1" w:styleId="BackPages-FirmAddress">
    <w:name w:val="Back Pages - Firm Address"/>
    <w:basedOn w:val="Normal"/>
    <w:uiPriority w:val="99"/>
    <w:rsid w:val="00342AC6"/>
    <w:pPr>
      <w:autoSpaceDE w:val="0"/>
      <w:autoSpaceDN w:val="0"/>
      <w:adjustRightInd w:val="0"/>
      <w:spacing w:line="288" w:lineRule="auto"/>
      <w:jc w:val="center"/>
      <w:textAlignment w:val="center"/>
    </w:pPr>
    <w:rPr>
      <w:rFonts w:ascii="Times New Roman" w:hAnsi="Times New Roman"/>
      <w:color w:val="000000"/>
      <w:sz w:val="16"/>
      <w:szCs w:val="16"/>
    </w:rPr>
  </w:style>
  <w:style w:type="paragraph" w:styleId="ListParagraph">
    <w:name w:val="List Paragraph"/>
    <w:basedOn w:val="Normal"/>
    <w:uiPriority w:val="34"/>
    <w:qFormat/>
    <w:rsid w:val="003B57DF"/>
    <w:pPr>
      <w:ind w:left="720"/>
      <w:contextualSpacing/>
    </w:pPr>
  </w:style>
  <w:style w:type="paragraph" w:styleId="NormalWeb">
    <w:name w:val="Normal (Web)"/>
    <w:basedOn w:val="Normal"/>
    <w:uiPriority w:val="99"/>
    <w:unhideWhenUsed/>
    <w:rsid w:val="009958D5"/>
    <w:pPr>
      <w:spacing w:before="100" w:beforeAutospacing="1" w:after="100" w:afterAutospacing="1" w:line="240" w:lineRule="auto"/>
      <w:jc w:val="left"/>
    </w:pPr>
    <w:rPr>
      <w:rFonts w:ascii="Times New Roman" w:hAnsi="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4932256">
      <w:bodyDiv w:val="1"/>
      <w:marLeft w:val="0"/>
      <w:marRight w:val="0"/>
      <w:marTop w:val="0"/>
      <w:marBottom w:val="0"/>
      <w:divBdr>
        <w:top w:val="none" w:sz="0" w:space="0" w:color="auto"/>
        <w:left w:val="none" w:sz="0" w:space="0" w:color="auto"/>
        <w:bottom w:val="none" w:sz="0" w:space="0" w:color="auto"/>
        <w:right w:val="none" w:sz="0" w:space="0" w:color="auto"/>
      </w:divBdr>
    </w:div>
    <w:div w:id="1438481094">
      <w:bodyDiv w:val="1"/>
      <w:marLeft w:val="0"/>
      <w:marRight w:val="0"/>
      <w:marTop w:val="0"/>
      <w:marBottom w:val="0"/>
      <w:divBdr>
        <w:top w:val="none" w:sz="0" w:space="0" w:color="auto"/>
        <w:left w:val="none" w:sz="0" w:space="0" w:color="auto"/>
        <w:bottom w:val="none" w:sz="0" w:space="0" w:color="auto"/>
        <w:right w:val="none" w:sz="0" w:space="0" w:color="auto"/>
      </w:divBdr>
      <w:divsChild>
        <w:div w:id="180121406">
          <w:marLeft w:val="0"/>
          <w:marRight w:val="0"/>
          <w:marTop w:val="224"/>
          <w:marBottom w:val="0"/>
          <w:divBdr>
            <w:top w:val="none" w:sz="0" w:space="0" w:color="auto"/>
            <w:left w:val="none" w:sz="0" w:space="0" w:color="auto"/>
            <w:bottom w:val="none" w:sz="0" w:space="0" w:color="auto"/>
            <w:right w:val="none" w:sz="0" w:space="0" w:color="auto"/>
          </w:divBdr>
          <w:divsChild>
            <w:div w:id="1968121869">
              <w:marLeft w:val="0"/>
              <w:marRight w:val="0"/>
              <w:marTop w:val="0"/>
              <w:marBottom w:val="0"/>
              <w:divBdr>
                <w:top w:val="none" w:sz="0" w:space="0" w:color="auto"/>
                <w:left w:val="none" w:sz="0" w:space="0" w:color="auto"/>
                <w:bottom w:val="none" w:sz="0" w:space="0" w:color="auto"/>
                <w:right w:val="none" w:sz="0" w:space="0" w:color="auto"/>
              </w:divBdr>
            </w:div>
          </w:divsChild>
        </w:div>
        <w:div w:id="629750404">
          <w:marLeft w:val="0"/>
          <w:marRight w:val="0"/>
          <w:marTop w:val="224"/>
          <w:marBottom w:val="0"/>
          <w:divBdr>
            <w:top w:val="none" w:sz="0" w:space="0" w:color="auto"/>
            <w:left w:val="none" w:sz="0" w:space="0" w:color="auto"/>
            <w:bottom w:val="none" w:sz="0" w:space="0" w:color="auto"/>
            <w:right w:val="none" w:sz="0" w:space="0" w:color="auto"/>
          </w:divBdr>
          <w:divsChild>
            <w:div w:id="119110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141886">
      <w:bodyDiv w:val="1"/>
      <w:marLeft w:val="0"/>
      <w:marRight w:val="0"/>
      <w:marTop w:val="0"/>
      <w:marBottom w:val="0"/>
      <w:divBdr>
        <w:top w:val="none" w:sz="0" w:space="0" w:color="auto"/>
        <w:left w:val="none" w:sz="0" w:space="0" w:color="auto"/>
        <w:bottom w:val="none" w:sz="0" w:space="0" w:color="auto"/>
        <w:right w:val="none" w:sz="0" w:space="0" w:color="auto"/>
      </w:divBdr>
    </w:div>
    <w:div w:id="2009749688">
      <w:bodyDiv w:val="1"/>
      <w:marLeft w:val="0"/>
      <w:marRight w:val="0"/>
      <w:marTop w:val="0"/>
      <w:marBottom w:val="0"/>
      <w:divBdr>
        <w:top w:val="none" w:sz="0" w:space="0" w:color="auto"/>
        <w:left w:val="none" w:sz="0" w:space="0" w:color="auto"/>
        <w:bottom w:val="none" w:sz="0" w:space="0" w:color="auto"/>
        <w:right w:val="none" w:sz="0" w:space="0" w:color="auto"/>
      </w:divBdr>
      <w:divsChild>
        <w:div w:id="42026998">
          <w:marLeft w:val="0"/>
          <w:marRight w:val="0"/>
          <w:marTop w:val="0"/>
          <w:marBottom w:val="0"/>
          <w:divBdr>
            <w:top w:val="none" w:sz="0" w:space="0" w:color="auto"/>
            <w:left w:val="none" w:sz="0" w:space="0" w:color="auto"/>
            <w:bottom w:val="none" w:sz="0" w:space="0" w:color="auto"/>
            <w:right w:val="none" w:sz="0" w:space="0" w:color="auto"/>
          </w:divBdr>
          <w:divsChild>
            <w:div w:id="2020502542">
              <w:marLeft w:val="0"/>
              <w:marRight w:val="0"/>
              <w:marTop w:val="224"/>
              <w:marBottom w:val="0"/>
              <w:divBdr>
                <w:top w:val="none" w:sz="0" w:space="0" w:color="auto"/>
                <w:left w:val="none" w:sz="0" w:space="0" w:color="auto"/>
                <w:bottom w:val="none" w:sz="0" w:space="0" w:color="auto"/>
                <w:right w:val="none" w:sz="0" w:space="0" w:color="auto"/>
              </w:divBdr>
              <w:divsChild>
                <w:div w:id="1455557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65577">
          <w:marLeft w:val="0"/>
          <w:marRight w:val="0"/>
          <w:marTop w:val="0"/>
          <w:marBottom w:val="0"/>
          <w:divBdr>
            <w:top w:val="none" w:sz="0" w:space="0" w:color="auto"/>
            <w:left w:val="none" w:sz="0" w:space="0" w:color="auto"/>
            <w:bottom w:val="none" w:sz="0" w:space="0" w:color="auto"/>
            <w:right w:val="none" w:sz="0" w:space="0" w:color="auto"/>
          </w:divBdr>
          <w:divsChild>
            <w:div w:id="170527721">
              <w:marLeft w:val="0"/>
              <w:marRight w:val="0"/>
              <w:marTop w:val="224"/>
              <w:marBottom w:val="0"/>
              <w:divBdr>
                <w:top w:val="none" w:sz="0" w:space="0" w:color="auto"/>
                <w:left w:val="none" w:sz="0" w:space="0" w:color="auto"/>
                <w:bottom w:val="none" w:sz="0" w:space="0" w:color="auto"/>
                <w:right w:val="none" w:sz="0" w:space="0" w:color="auto"/>
              </w:divBdr>
              <w:divsChild>
                <w:div w:id="995230557">
                  <w:marLeft w:val="0"/>
                  <w:marRight w:val="0"/>
                  <w:marTop w:val="0"/>
                  <w:marBottom w:val="0"/>
                  <w:divBdr>
                    <w:top w:val="none" w:sz="0" w:space="0" w:color="auto"/>
                    <w:left w:val="none" w:sz="0" w:space="0" w:color="auto"/>
                    <w:bottom w:val="none" w:sz="0" w:space="0" w:color="auto"/>
                    <w:right w:val="none" w:sz="0" w:space="0" w:color="auto"/>
                  </w:divBdr>
                </w:div>
              </w:divsChild>
            </w:div>
            <w:div w:id="1399671815">
              <w:marLeft w:val="0"/>
              <w:marRight w:val="0"/>
              <w:marTop w:val="224"/>
              <w:marBottom w:val="0"/>
              <w:divBdr>
                <w:top w:val="none" w:sz="0" w:space="0" w:color="auto"/>
                <w:left w:val="none" w:sz="0" w:space="0" w:color="auto"/>
                <w:bottom w:val="none" w:sz="0" w:space="0" w:color="auto"/>
                <w:right w:val="none" w:sz="0" w:space="0" w:color="auto"/>
              </w:divBdr>
              <w:divsChild>
                <w:div w:id="721637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5660899">
          <w:marLeft w:val="0"/>
          <w:marRight w:val="0"/>
          <w:marTop w:val="0"/>
          <w:marBottom w:val="0"/>
          <w:divBdr>
            <w:top w:val="none" w:sz="0" w:space="0" w:color="auto"/>
            <w:left w:val="none" w:sz="0" w:space="0" w:color="auto"/>
            <w:bottom w:val="none" w:sz="0" w:space="0" w:color="auto"/>
            <w:right w:val="none" w:sz="0" w:space="0" w:color="auto"/>
          </w:divBdr>
        </w:div>
        <w:div w:id="645210610">
          <w:marLeft w:val="0"/>
          <w:marRight w:val="0"/>
          <w:marTop w:val="0"/>
          <w:marBottom w:val="0"/>
          <w:divBdr>
            <w:top w:val="none" w:sz="0" w:space="0" w:color="auto"/>
            <w:left w:val="none" w:sz="0" w:space="0" w:color="auto"/>
            <w:bottom w:val="none" w:sz="0" w:space="0" w:color="auto"/>
            <w:right w:val="none" w:sz="0" w:space="0" w:color="auto"/>
          </w:divBdr>
          <w:divsChild>
            <w:div w:id="407046042">
              <w:marLeft w:val="0"/>
              <w:marRight w:val="0"/>
              <w:marTop w:val="0"/>
              <w:marBottom w:val="0"/>
              <w:divBdr>
                <w:top w:val="none" w:sz="0" w:space="0" w:color="auto"/>
                <w:left w:val="none" w:sz="0" w:space="0" w:color="auto"/>
                <w:bottom w:val="none" w:sz="0" w:space="0" w:color="auto"/>
                <w:right w:val="none" w:sz="0" w:space="0" w:color="auto"/>
              </w:divBdr>
              <w:divsChild>
                <w:div w:id="192617942">
                  <w:marLeft w:val="0"/>
                  <w:marRight w:val="0"/>
                  <w:marTop w:val="0"/>
                  <w:marBottom w:val="0"/>
                  <w:divBdr>
                    <w:top w:val="none" w:sz="0" w:space="0" w:color="auto"/>
                    <w:left w:val="none" w:sz="0" w:space="0" w:color="auto"/>
                    <w:bottom w:val="none" w:sz="0" w:space="0" w:color="auto"/>
                    <w:right w:val="none" w:sz="0" w:space="0" w:color="auto"/>
                  </w:divBdr>
                  <w:divsChild>
                    <w:div w:id="2111583536">
                      <w:marLeft w:val="0"/>
                      <w:marRight w:val="0"/>
                      <w:marTop w:val="224"/>
                      <w:marBottom w:val="0"/>
                      <w:divBdr>
                        <w:top w:val="none" w:sz="0" w:space="0" w:color="auto"/>
                        <w:left w:val="none" w:sz="0" w:space="0" w:color="auto"/>
                        <w:bottom w:val="none" w:sz="0" w:space="0" w:color="auto"/>
                        <w:right w:val="none" w:sz="0" w:space="0" w:color="auto"/>
                      </w:divBdr>
                      <w:divsChild>
                        <w:div w:id="208328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005714">
                  <w:marLeft w:val="0"/>
                  <w:marRight w:val="0"/>
                  <w:marTop w:val="0"/>
                  <w:marBottom w:val="0"/>
                  <w:divBdr>
                    <w:top w:val="none" w:sz="0" w:space="0" w:color="auto"/>
                    <w:left w:val="none" w:sz="0" w:space="0" w:color="auto"/>
                    <w:bottom w:val="none" w:sz="0" w:space="0" w:color="auto"/>
                    <w:right w:val="none" w:sz="0" w:space="0" w:color="auto"/>
                  </w:divBdr>
                  <w:divsChild>
                    <w:div w:id="1079719354">
                      <w:marLeft w:val="0"/>
                      <w:marRight w:val="0"/>
                      <w:marTop w:val="224"/>
                      <w:marBottom w:val="0"/>
                      <w:divBdr>
                        <w:top w:val="none" w:sz="0" w:space="0" w:color="auto"/>
                        <w:left w:val="none" w:sz="0" w:space="0" w:color="auto"/>
                        <w:bottom w:val="none" w:sz="0" w:space="0" w:color="auto"/>
                        <w:right w:val="none" w:sz="0" w:space="0" w:color="auto"/>
                      </w:divBdr>
                      <w:divsChild>
                        <w:div w:id="1082263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1305616">
                  <w:marLeft w:val="0"/>
                  <w:marRight w:val="0"/>
                  <w:marTop w:val="0"/>
                  <w:marBottom w:val="0"/>
                  <w:divBdr>
                    <w:top w:val="none" w:sz="0" w:space="0" w:color="auto"/>
                    <w:left w:val="none" w:sz="0" w:space="0" w:color="auto"/>
                    <w:bottom w:val="none" w:sz="0" w:space="0" w:color="auto"/>
                    <w:right w:val="none" w:sz="0" w:space="0" w:color="auto"/>
                  </w:divBdr>
                  <w:divsChild>
                    <w:div w:id="466511769">
                      <w:marLeft w:val="0"/>
                      <w:marRight w:val="0"/>
                      <w:marTop w:val="224"/>
                      <w:marBottom w:val="0"/>
                      <w:divBdr>
                        <w:top w:val="none" w:sz="0" w:space="0" w:color="auto"/>
                        <w:left w:val="none" w:sz="0" w:space="0" w:color="auto"/>
                        <w:bottom w:val="none" w:sz="0" w:space="0" w:color="auto"/>
                        <w:right w:val="none" w:sz="0" w:space="0" w:color="auto"/>
                      </w:divBdr>
                      <w:divsChild>
                        <w:div w:id="1928613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822546">
                  <w:marLeft w:val="0"/>
                  <w:marRight w:val="0"/>
                  <w:marTop w:val="0"/>
                  <w:marBottom w:val="0"/>
                  <w:divBdr>
                    <w:top w:val="none" w:sz="0" w:space="0" w:color="auto"/>
                    <w:left w:val="none" w:sz="0" w:space="0" w:color="auto"/>
                    <w:bottom w:val="none" w:sz="0" w:space="0" w:color="auto"/>
                    <w:right w:val="none" w:sz="0" w:space="0" w:color="auto"/>
                  </w:divBdr>
                  <w:divsChild>
                    <w:div w:id="805317955">
                      <w:marLeft w:val="0"/>
                      <w:marRight w:val="0"/>
                      <w:marTop w:val="224"/>
                      <w:marBottom w:val="0"/>
                      <w:divBdr>
                        <w:top w:val="none" w:sz="0" w:space="0" w:color="auto"/>
                        <w:left w:val="none" w:sz="0" w:space="0" w:color="auto"/>
                        <w:bottom w:val="none" w:sz="0" w:space="0" w:color="auto"/>
                        <w:right w:val="none" w:sz="0" w:space="0" w:color="auto"/>
                      </w:divBdr>
                      <w:divsChild>
                        <w:div w:id="789933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8012955">
              <w:marLeft w:val="0"/>
              <w:marRight w:val="0"/>
              <w:marTop w:val="224"/>
              <w:marBottom w:val="0"/>
              <w:divBdr>
                <w:top w:val="none" w:sz="0" w:space="0" w:color="auto"/>
                <w:left w:val="none" w:sz="0" w:space="0" w:color="auto"/>
                <w:bottom w:val="none" w:sz="0" w:space="0" w:color="auto"/>
                <w:right w:val="none" w:sz="0" w:space="0" w:color="auto"/>
              </w:divBdr>
              <w:divsChild>
                <w:div w:id="1136728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1676088">
          <w:marLeft w:val="0"/>
          <w:marRight w:val="0"/>
          <w:marTop w:val="288"/>
          <w:marBottom w:val="160"/>
          <w:divBdr>
            <w:top w:val="single" w:sz="6" w:space="18" w:color="DCDCDC"/>
            <w:left w:val="single" w:sz="6" w:space="24" w:color="DCDCDC"/>
            <w:bottom w:val="single" w:sz="6" w:space="18" w:color="DCDCDC"/>
            <w:right w:val="single" w:sz="6" w:space="24" w:color="DCDCDC"/>
          </w:divBdr>
          <w:divsChild>
            <w:div w:id="510724872">
              <w:marLeft w:val="0"/>
              <w:marRight w:val="0"/>
              <w:marTop w:val="0"/>
              <w:marBottom w:val="0"/>
              <w:divBdr>
                <w:top w:val="none" w:sz="0" w:space="0" w:color="auto"/>
                <w:left w:val="none" w:sz="0" w:space="0" w:color="auto"/>
                <w:bottom w:val="none" w:sz="0" w:space="0" w:color="auto"/>
                <w:right w:val="none" w:sz="0" w:space="0" w:color="auto"/>
              </w:divBdr>
              <w:divsChild>
                <w:div w:id="1276131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9107021">
          <w:marLeft w:val="0"/>
          <w:marRight w:val="0"/>
          <w:marTop w:val="288"/>
          <w:marBottom w:val="160"/>
          <w:divBdr>
            <w:top w:val="single" w:sz="6" w:space="18" w:color="DCDCDC"/>
            <w:left w:val="single" w:sz="6" w:space="24" w:color="DCDCDC"/>
            <w:bottom w:val="single" w:sz="6" w:space="18" w:color="DCDCDC"/>
            <w:right w:val="single" w:sz="6" w:space="24" w:color="DCDCDC"/>
          </w:divBdr>
          <w:divsChild>
            <w:div w:id="2027444369">
              <w:marLeft w:val="0"/>
              <w:marRight w:val="0"/>
              <w:marTop w:val="0"/>
              <w:marBottom w:val="0"/>
              <w:divBdr>
                <w:top w:val="none" w:sz="0" w:space="0" w:color="auto"/>
                <w:left w:val="none" w:sz="0" w:space="0" w:color="auto"/>
                <w:bottom w:val="none" w:sz="0" w:space="0" w:color="auto"/>
                <w:right w:val="none" w:sz="0" w:space="0" w:color="auto"/>
              </w:divBdr>
              <w:divsChild>
                <w:div w:id="515735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939528">
          <w:marLeft w:val="0"/>
          <w:marRight w:val="0"/>
          <w:marTop w:val="0"/>
          <w:marBottom w:val="0"/>
          <w:divBdr>
            <w:top w:val="none" w:sz="0" w:space="0" w:color="auto"/>
            <w:left w:val="none" w:sz="0" w:space="0" w:color="auto"/>
            <w:bottom w:val="none" w:sz="0" w:space="0" w:color="auto"/>
            <w:right w:val="none" w:sz="0" w:space="0" w:color="auto"/>
          </w:divBdr>
          <w:divsChild>
            <w:div w:id="1227572014">
              <w:marLeft w:val="0"/>
              <w:marRight w:val="0"/>
              <w:marTop w:val="224"/>
              <w:marBottom w:val="0"/>
              <w:divBdr>
                <w:top w:val="none" w:sz="0" w:space="0" w:color="auto"/>
                <w:left w:val="none" w:sz="0" w:space="0" w:color="auto"/>
                <w:bottom w:val="none" w:sz="0" w:space="0" w:color="auto"/>
                <w:right w:val="none" w:sz="0" w:space="0" w:color="auto"/>
              </w:divBdr>
              <w:divsChild>
                <w:div w:id="1942179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572575">
          <w:marLeft w:val="0"/>
          <w:marRight w:val="0"/>
          <w:marTop w:val="0"/>
          <w:marBottom w:val="0"/>
          <w:divBdr>
            <w:top w:val="none" w:sz="0" w:space="0" w:color="auto"/>
            <w:left w:val="none" w:sz="0" w:space="0" w:color="auto"/>
            <w:bottom w:val="none" w:sz="0" w:space="0" w:color="auto"/>
            <w:right w:val="none" w:sz="0" w:space="0" w:color="auto"/>
          </w:divBdr>
        </w:div>
        <w:div w:id="1967857105">
          <w:marLeft w:val="0"/>
          <w:marRight w:val="0"/>
          <w:marTop w:val="0"/>
          <w:marBottom w:val="0"/>
          <w:divBdr>
            <w:top w:val="none" w:sz="0" w:space="0" w:color="auto"/>
            <w:left w:val="none" w:sz="0" w:space="0" w:color="auto"/>
            <w:bottom w:val="none" w:sz="0" w:space="0" w:color="auto"/>
            <w:right w:val="none" w:sz="0" w:space="0" w:color="auto"/>
          </w:divBdr>
          <w:divsChild>
            <w:div w:id="128206426">
              <w:marLeft w:val="0"/>
              <w:marRight w:val="0"/>
              <w:marTop w:val="224"/>
              <w:marBottom w:val="0"/>
              <w:divBdr>
                <w:top w:val="none" w:sz="0" w:space="0" w:color="auto"/>
                <w:left w:val="none" w:sz="0" w:space="0" w:color="auto"/>
                <w:bottom w:val="none" w:sz="0" w:space="0" w:color="auto"/>
                <w:right w:val="none" w:sz="0" w:space="0" w:color="auto"/>
              </w:divBdr>
              <w:divsChild>
                <w:div w:id="1638562378">
                  <w:marLeft w:val="0"/>
                  <w:marRight w:val="0"/>
                  <w:marTop w:val="0"/>
                  <w:marBottom w:val="0"/>
                  <w:divBdr>
                    <w:top w:val="none" w:sz="0" w:space="0" w:color="auto"/>
                    <w:left w:val="none" w:sz="0" w:space="0" w:color="auto"/>
                    <w:bottom w:val="none" w:sz="0" w:space="0" w:color="auto"/>
                    <w:right w:val="none" w:sz="0" w:space="0" w:color="auto"/>
                  </w:divBdr>
                </w:div>
              </w:divsChild>
            </w:div>
            <w:div w:id="410469256">
              <w:marLeft w:val="0"/>
              <w:marRight w:val="0"/>
              <w:marTop w:val="224"/>
              <w:marBottom w:val="0"/>
              <w:divBdr>
                <w:top w:val="none" w:sz="0" w:space="0" w:color="auto"/>
                <w:left w:val="none" w:sz="0" w:space="0" w:color="auto"/>
                <w:bottom w:val="none" w:sz="0" w:space="0" w:color="auto"/>
                <w:right w:val="none" w:sz="0" w:space="0" w:color="auto"/>
              </w:divBdr>
              <w:divsChild>
                <w:div w:id="893783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258450">
          <w:marLeft w:val="0"/>
          <w:marRight w:val="0"/>
          <w:marTop w:val="0"/>
          <w:marBottom w:val="0"/>
          <w:divBdr>
            <w:top w:val="none" w:sz="0" w:space="0" w:color="auto"/>
            <w:left w:val="none" w:sz="0" w:space="0" w:color="auto"/>
            <w:bottom w:val="none" w:sz="0" w:space="0" w:color="auto"/>
            <w:right w:val="none" w:sz="0" w:space="0" w:color="auto"/>
          </w:divBdr>
          <w:divsChild>
            <w:div w:id="514227235">
              <w:marLeft w:val="0"/>
              <w:marRight w:val="0"/>
              <w:marTop w:val="224"/>
              <w:marBottom w:val="0"/>
              <w:divBdr>
                <w:top w:val="none" w:sz="0" w:space="0" w:color="auto"/>
                <w:left w:val="none" w:sz="0" w:space="0" w:color="auto"/>
                <w:bottom w:val="none" w:sz="0" w:space="0" w:color="auto"/>
                <w:right w:val="none" w:sz="0" w:space="0" w:color="auto"/>
              </w:divBdr>
              <w:divsChild>
                <w:div w:id="797261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huskisson@tta.lawyer"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nmclarnon@tta.lawyer" TargetMode="External"/><Relationship Id="rId4" Type="http://schemas.openxmlformats.org/officeDocument/2006/relationships/settings" Target="settings.xml"/><Relationship Id="rId9" Type="http://schemas.openxmlformats.org/officeDocument/2006/relationships/hyperlink" Target="mailto:apeccarino@tta.lawyer"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Office11\TikitData\Ashurst\Templates\ashurstDoc.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B35C87-079E-435F-AC65-75C74C0EEC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ashurstDoc</Template>
  <TotalTime>1662</TotalTime>
  <Pages>1</Pages>
  <Words>4625</Words>
  <Characters>26369</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wordxpDoc</vt:lpstr>
    </vt:vector>
  </TitlesOfParts>
  <Company>Ashurst</Company>
  <LinksUpToDate>false</LinksUpToDate>
  <CharactersWithSpaces>30933</CharactersWithSpaces>
  <SharedDoc>false</SharedDoc>
  <HLinks>
    <vt:vector size="24" baseType="variant">
      <vt:variant>
        <vt:i4>7602249</vt:i4>
      </vt:variant>
      <vt:variant>
        <vt:i4>12</vt:i4>
      </vt:variant>
      <vt:variant>
        <vt:i4>0</vt:i4>
      </vt:variant>
      <vt:variant>
        <vt:i4>5</vt:i4>
      </vt:variant>
      <vt:variant>
        <vt:lpwstr>mailto:bpatel@tta.lawyer</vt:lpwstr>
      </vt:variant>
      <vt:variant>
        <vt:lpwstr/>
      </vt:variant>
      <vt:variant>
        <vt:i4>6619220</vt:i4>
      </vt:variant>
      <vt:variant>
        <vt:i4>6</vt:i4>
      </vt:variant>
      <vt:variant>
        <vt:i4>0</vt:i4>
      </vt:variant>
      <vt:variant>
        <vt:i4>5</vt:i4>
      </vt:variant>
      <vt:variant>
        <vt:lpwstr>mailto:nmclarnon@tta.lawyer</vt:lpwstr>
      </vt:variant>
      <vt:variant>
        <vt:lpwstr/>
      </vt:variant>
      <vt:variant>
        <vt:i4>6881365</vt:i4>
      </vt:variant>
      <vt:variant>
        <vt:i4>3</vt:i4>
      </vt:variant>
      <vt:variant>
        <vt:i4>0</vt:i4>
      </vt:variant>
      <vt:variant>
        <vt:i4>5</vt:i4>
      </vt:variant>
      <vt:variant>
        <vt:lpwstr>mailto:apeccarino@tta.lawyer</vt:lpwstr>
      </vt:variant>
      <vt:variant>
        <vt:lpwstr/>
      </vt:variant>
      <vt:variant>
        <vt:i4>7929934</vt:i4>
      </vt:variant>
      <vt:variant>
        <vt:i4>0</vt:i4>
      </vt:variant>
      <vt:variant>
        <vt:i4>0</vt:i4>
      </vt:variant>
      <vt:variant>
        <vt:i4>5</vt:i4>
      </vt:variant>
      <vt:variant>
        <vt:lpwstr>mailto:ihuskisson@tta.lawyer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wordxpDoc</dc:title>
  <dc:subject/>
  <dc:creator>chc</dc:creator>
  <cp:keywords/>
  <cp:lastModifiedBy>Megan Hylton</cp:lastModifiedBy>
  <cp:revision>9</cp:revision>
  <cp:lastPrinted>2021-06-23T22:13:00Z</cp:lastPrinted>
  <dcterms:created xsi:type="dcterms:W3CDTF">2021-06-08T22:08:00Z</dcterms:created>
  <dcterms:modified xsi:type="dcterms:W3CDTF">2021-07-14T12:09:00Z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shurstDocRef">
    <vt:lpwstr>11:45\09 March 2011\LONDON\CHC\19651489.03</vt:lpwstr>
  </property>
  <property fmtid="{D5CDD505-2E9C-101B-9397-08002B2CF9AE}" pid="3" name="AshurstDocNumber">
    <vt:lpwstr>19651489</vt:lpwstr>
  </property>
  <property fmtid="{D5CDD505-2E9C-101B-9397-08002B2CF9AE}" pid="4" name="AshurstVersionNumber">
    <vt:lpwstr/>
  </property>
  <property fmtid="{D5CDD505-2E9C-101B-9397-08002B2CF9AE}" pid="5" name="AshurstDocType">
    <vt:lpwstr/>
  </property>
  <property fmtid="{D5CDD505-2E9C-101B-9397-08002B2CF9AE}" pid="6" name="AshurstLibraryName">
    <vt:lpwstr/>
  </property>
  <property fmtid="{D5CDD505-2E9C-101B-9397-08002B2CF9AE}" pid="7" name="AshurstAuthorID">
    <vt:lpwstr/>
  </property>
  <property fmtid="{D5CDD505-2E9C-101B-9397-08002B2CF9AE}" pid="8" name="AshurstAuthorName">
    <vt:lpwstr/>
  </property>
  <property fmtid="{D5CDD505-2E9C-101B-9397-08002B2CF9AE}" pid="9" name="AshurstTypistID">
    <vt:lpwstr/>
  </property>
  <property fmtid="{D5CDD505-2E9C-101B-9397-08002B2CF9AE}" pid="10" name="AshurstTypistName">
    <vt:lpwstr/>
  </property>
  <property fmtid="{D5CDD505-2E9C-101B-9397-08002B2CF9AE}" pid="11" name="AshurstClientID">
    <vt:lpwstr>AshurstClientID</vt:lpwstr>
  </property>
  <property fmtid="{D5CDD505-2E9C-101B-9397-08002B2CF9AE}" pid="12" name="AshurstClientDescription">
    <vt:lpwstr>AshurstClientDescription</vt:lpwstr>
  </property>
  <property fmtid="{D5CDD505-2E9C-101B-9397-08002B2CF9AE}" pid="13" name="AshurstMatterID">
    <vt:lpwstr>AshurstMatterID</vt:lpwstr>
  </property>
  <property fmtid="{D5CDD505-2E9C-101B-9397-08002B2CF9AE}" pid="14" name="AshurstMatterDescription">
    <vt:lpwstr/>
  </property>
  <property fmtid="{D5CDD505-2E9C-101B-9397-08002B2CF9AE}" pid="15" name="AshurstFeeEarnerInitials">
    <vt:lpwstr>FE Initials</vt:lpwstr>
  </property>
  <property fmtid="{D5CDD505-2E9C-101B-9397-08002B2CF9AE}" pid="16" name="AshurstPartnerInitials">
    <vt:lpwstr>Partner Initials</vt:lpwstr>
  </property>
  <property fmtid="{D5CDD505-2E9C-101B-9397-08002B2CF9AE}" pid="17" name="AshurstFileNumber">
    <vt:lpwstr>ZZZ78.00001</vt:lpwstr>
  </property>
  <property fmtid="{D5CDD505-2E9C-101B-9397-08002B2CF9AE}" pid="18" name="AshurstOurRef">
    <vt:lpwstr>CHC\ZZZ78.00001\19651489</vt:lpwstr>
  </property>
  <property fmtid="{D5CDD505-2E9C-101B-9397-08002B2CF9AE}" pid="19" name="AshurstDocRefCoverPage">
    <vt:lpwstr>Partner Initials\FE Initials\ZZZ78.00001</vt:lpwstr>
  </property>
  <property fmtid="{D5CDD505-2E9C-101B-9397-08002B2CF9AE}" pid="20" name="document number">
    <vt:lpwstr>19651489\03</vt:lpwstr>
  </property>
  <property fmtid="{D5CDD505-2E9C-101B-9397-08002B2CF9AE}" pid="21" name="_NewReviewCycle">
    <vt:lpwstr/>
  </property>
</Properties>
</file>