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B9D" w:rsidRDefault="00CD432C" w:rsidP="00CD432C">
      <w:pPr>
        <w:jc w:val="center"/>
        <w:rPr>
          <w:b/>
          <w:sz w:val="28"/>
          <w:u w:val="single"/>
        </w:rPr>
      </w:pPr>
      <w:r>
        <w:rPr>
          <w:b/>
          <w:sz w:val="28"/>
          <w:u w:val="single"/>
        </w:rPr>
        <w:t xml:space="preserve">Cayman Court orders winding up of </w:t>
      </w:r>
      <w:proofErr w:type="spellStart"/>
      <w:r>
        <w:rPr>
          <w:b/>
          <w:sz w:val="28"/>
          <w:u w:val="single"/>
        </w:rPr>
        <w:t>AquaPoint</w:t>
      </w:r>
      <w:proofErr w:type="spellEnd"/>
      <w:r>
        <w:rPr>
          <w:b/>
          <w:sz w:val="28"/>
          <w:u w:val="single"/>
        </w:rPr>
        <w:t xml:space="preserve"> L.P. </w:t>
      </w:r>
    </w:p>
    <w:p w:rsidR="00CD432C" w:rsidRPr="00AE5420" w:rsidRDefault="00CD432C" w:rsidP="00CD432C">
      <w:pPr>
        <w:jc w:val="center"/>
        <w:rPr>
          <w:b/>
          <w:sz w:val="28"/>
          <w:u w:val="single"/>
        </w:rPr>
      </w:pPr>
      <w:proofErr w:type="gramStart"/>
      <w:r>
        <w:rPr>
          <w:b/>
          <w:sz w:val="28"/>
          <w:u w:val="single"/>
        </w:rPr>
        <w:t>on</w:t>
      </w:r>
      <w:proofErr w:type="gramEnd"/>
      <w:r>
        <w:rPr>
          <w:b/>
          <w:sz w:val="28"/>
          <w:u w:val="single"/>
        </w:rPr>
        <w:t xml:space="preserve"> just and equitable grounds </w:t>
      </w:r>
    </w:p>
    <w:p w:rsidR="00CD432C" w:rsidRDefault="00CD432C" w:rsidP="00CD432C">
      <w:pPr>
        <w:jc w:val="both"/>
      </w:pPr>
    </w:p>
    <w:p w:rsidR="00BA14A5" w:rsidRDefault="00CD432C" w:rsidP="00CD432C">
      <w:pPr>
        <w:jc w:val="both"/>
      </w:pPr>
      <w:r>
        <w:t>Justice Doyle has delivered</w:t>
      </w:r>
      <w:r w:rsidR="00094712">
        <w:t xml:space="preserve"> his</w:t>
      </w:r>
      <w:r>
        <w:t xml:space="preserve"> judgment on </w:t>
      </w:r>
      <w:r w:rsidR="00094712">
        <w:t xml:space="preserve">a petition issued by Dr </w:t>
      </w:r>
      <w:proofErr w:type="spellStart"/>
      <w:r w:rsidR="00094712">
        <w:t>Xiaohu</w:t>
      </w:r>
      <w:proofErr w:type="spellEnd"/>
      <w:r w:rsidR="00094712">
        <w:t xml:space="preserve"> Fan in respect of the Cayman exempted limited partnership, </w:t>
      </w:r>
      <w:proofErr w:type="spellStart"/>
      <w:r w:rsidR="00094712">
        <w:t>Aqu</w:t>
      </w:r>
      <w:r w:rsidR="00BA14A5">
        <w:t>aPoint</w:t>
      </w:r>
      <w:proofErr w:type="spellEnd"/>
      <w:r w:rsidR="00BA14A5">
        <w:t xml:space="preserve"> LP, finding that there had been a frustration</w:t>
      </w:r>
      <w:r w:rsidR="00BA14A5" w:rsidRPr="00CD432C">
        <w:t xml:space="preserve"> of </w:t>
      </w:r>
      <w:r w:rsidR="00BA14A5">
        <w:t>Dr Fan’s</w:t>
      </w:r>
      <w:r w:rsidR="00BA14A5" w:rsidRPr="00CD432C">
        <w:t xml:space="preserve"> legitimate expectation and understanding</w:t>
      </w:r>
      <w:r w:rsidR="00BA14A5">
        <w:t xml:space="preserve"> as a limited partner</w:t>
      </w:r>
      <w:r w:rsidR="00BA14A5" w:rsidRPr="00CD432C">
        <w:t>,</w:t>
      </w:r>
      <w:r w:rsidR="00BA14A5">
        <w:t xml:space="preserve"> an</w:t>
      </w:r>
      <w:r w:rsidR="00BA14A5" w:rsidRPr="00CD432C">
        <w:t xml:space="preserve"> irretrievable breakdown</w:t>
      </w:r>
      <w:r w:rsidR="00BA14A5">
        <w:t xml:space="preserve"> in his relation with the general partner</w:t>
      </w:r>
      <w:r w:rsidR="00BA14A5" w:rsidRPr="00CD432C">
        <w:t xml:space="preserve"> because of lack of trust and confidence, and </w:t>
      </w:r>
      <w:r w:rsidR="00BA14A5">
        <w:t xml:space="preserve">a </w:t>
      </w:r>
      <w:r w:rsidR="00BA14A5" w:rsidRPr="00CD432C">
        <w:t xml:space="preserve">conflict of interest </w:t>
      </w:r>
      <w:r w:rsidR="00BA14A5">
        <w:t>shown by the actions of the</w:t>
      </w:r>
      <w:r w:rsidR="00BA14A5" w:rsidRPr="00CD432C">
        <w:t xml:space="preserve"> general partner</w:t>
      </w:r>
      <w:r w:rsidR="00BA14A5">
        <w:t xml:space="preserve">, all of which resulted in it being just and equitable to wind up the Partnership. </w:t>
      </w:r>
    </w:p>
    <w:p w:rsidR="00CD432C" w:rsidRDefault="00094712" w:rsidP="00CD432C">
      <w:pPr>
        <w:jc w:val="both"/>
      </w:pPr>
      <w:r>
        <w:t>The resulting judgment means that liquidators have been appointed over the Partnership and Dr Fan will be able to receive his proportionate shares in Legend Biotech Corporation, a NASDAQ listed company with a market cap of over $6.5bn, in which the Partnership holds approximately $590m worth of stock</w:t>
      </w:r>
      <w:r w:rsidR="00B814D0">
        <w:t xml:space="preserve">. </w:t>
      </w:r>
      <w:r w:rsidR="00B814D0" w:rsidRPr="00B814D0">
        <w:t xml:space="preserve">A link to the </w:t>
      </w:r>
      <w:r w:rsidR="00B814D0">
        <w:t xml:space="preserve">full judgment can be found </w:t>
      </w:r>
      <w:r w:rsidR="00B814D0" w:rsidRPr="00B814D0">
        <w:rPr>
          <w:u w:val="single"/>
        </w:rPr>
        <w:t>here</w:t>
      </w:r>
      <w:r w:rsidR="00B814D0">
        <w:rPr>
          <w:rStyle w:val="FootnoteReference"/>
        </w:rPr>
        <w:footnoteReference w:id="1"/>
      </w:r>
      <w:r>
        <w:t xml:space="preserve">. </w:t>
      </w:r>
    </w:p>
    <w:p w:rsidR="00094712" w:rsidRPr="00094712" w:rsidRDefault="00E15829" w:rsidP="00CD432C">
      <w:pPr>
        <w:jc w:val="both"/>
        <w:rPr>
          <w:b/>
        </w:rPr>
      </w:pPr>
      <w:r>
        <w:rPr>
          <w:b/>
        </w:rPr>
        <w:t>Dr Fan’s Petition</w:t>
      </w:r>
    </w:p>
    <w:p w:rsidR="00873E6F" w:rsidRDefault="00E15829" w:rsidP="00CD432C">
      <w:pPr>
        <w:jc w:val="both"/>
      </w:pPr>
      <w:r>
        <w:t xml:space="preserve">The Petition was based upon Dr Fan having been intrinsically involved in the set up and growth of the business line within the </w:t>
      </w:r>
      <w:proofErr w:type="spellStart"/>
      <w:r>
        <w:t>GenScript</w:t>
      </w:r>
      <w:proofErr w:type="spellEnd"/>
      <w:r>
        <w:t xml:space="preserve"> group that developed novel cell therapies for oncological and other similar purposes, set up under a sub-group called Legend. As a result of his involvement and importance to the project, Dr Fan agreed to</w:t>
      </w:r>
      <w:r w:rsidR="00873E6F">
        <w:t xml:space="preserve"> and always operated on the basis that he would</w:t>
      </w:r>
      <w:r>
        <w:t xml:space="preserve"> receive 10% equity in</w:t>
      </w:r>
      <w:r w:rsidR="00873E6F">
        <w:t xml:space="preserve"> the </w:t>
      </w:r>
      <w:r>
        <w:t>entity</w:t>
      </w:r>
      <w:r w:rsidR="00873E6F">
        <w:t xml:space="preserve"> which ultimately went through an IPO. That </w:t>
      </w:r>
      <w:r>
        <w:t xml:space="preserve">investment </w:t>
      </w:r>
      <w:r w:rsidR="00873E6F">
        <w:t xml:space="preserve">ended up being held </w:t>
      </w:r>
      <w:r>
        <w:t xml:space="preserve">through an exempted limited partnership called </w:t>
      </w:r>
      <w:proofErr w:type="spellStart"/>
      <w:r>
        <w:t>AquaPoint</w:t>
      </w:r>
      <w:proofErr w:type="spellEnd"/>
      <w:r w:rsidR="00873E6F">
        <w:t>, in which</w:t>
      </w:r>
      <w:r>
        <w:t xml:space="preserve"> Dr Fan held </w:t>
      </w:r>
      <w:r w:rsidR="00873E6F">
        <w:t>almost</w:t>
      </w:r>
      <w:r>
        <w:t xml:space="preserve"> </w:t>
      </w:r>
      <w:r w:rsidR="00873E6F">
        <w:t>70</w:t>
      </w:r>
      <w:r>
        <w:t xml:space="preserve">% of the limited partnership interest, another limited partner held </w:t>
      </w:r>
      <w:r w:rsidR="00873E6F">
        <w:t xml:space="preserve">just over </w:t>
      </w:r>
      <w:r>
        <w:t>3</w:t>
      </w:r>
      <w:r w:rsidR="00873E6F">
        <w:t>0%</w:t>
      </w:r>
      <w:r>
        <w:t>.</w:t>
      </w:r>
      <w:r w:rsidR="00873E6F">
        <w:t xml:space="preserve"> The general partner, </w:t>
      </w:r>
      <w:proofErr w:type="spellStart"/>
      <w:r w:rsidR="00873E6F">
        <w:t>Genscript</w:t>
      </w:r>
      <w:proofErr w:type="spellEnd"/>
      <w:r w:rsidR="00873E6F">
        <w:t xml:space="preserve"> Corporation, had a nominal interest.</w:t>
      </w:r>
      <w:r>
        <w:t xml:space="preserve"> </w:t>
      </w:r>
      <w:proofErr w:type="spellStart"/>
      <w:r>
        <w:t>The</w:t>
      </w:r>
      <w:proofErr w:type="spellEnd"/>
      <w:r>
        <w:t xml:space="preserve"> Partnership’s only asset is </w:t>
      </w:r>
      <w:proofErr w:type="gramStart"/>
      <w:r>
        <w:t>its</w:t>
      </w:r>
      <w:proofErr w:type="gramEnd"/>
      <w:r>
        <w:t xml:space="preserve"> approximately 16% shareholding in Legend Biotech Corporation (which has subsequently been diluted to approximately 11%). </w:t>
      </w:r>
    </w:p>
    <w:p w:rsidR="00CD432C" w:rsidRDefault="00E15829" w:rsidP="00CD432C">
      <w:pPr>
        <w:jc w:val="both"/>
      </w:pPr>
      <w:r>
        <w:t xml:space="preserve">Dr Fan’s understanding at all times was that he would receive his 10% shareholding in Legend Cayman in his personal name following the expiry of a 6 month lockup period after the IPO of Legend Cayman, however when he made request for that transfer in early 2021, the general partner refused to do so. The general partner was owned and controlled by Frank Zhang, who was one of the founders of the </w:t>
      </w:r>
      <w:proofErr w:type="spellStart"/>
      <w:r>
        <w:t>Genscript</w:t>
      </w:r>
      <w:proofErr w:type="spellEnd"/>
      <w:r>
        <w:t xml:space="preserve"> Group. The GP’s refusal to transfer shares to Dr Fan </w:t>
      </w:r>
      <w:r w:rsidR="00873E6F">
        <w:t xml:space="preserve">following the expiry of the lockup period, a criminal investigation into Frank Zhang in PRC, and the GP acting in a manner which in clear conflict of interest and against its duty to act in the best interests of the Partnership were the primary basis upon which Dr Fan presented his Petition to the Court that the Partnership be wound up on just and equitable grounds. </w:t>
      </w:r>
    </w:p>
    <w:p w:rsidR="00CD432C" w:rsidRDefault="00094712" w:rsidP="00CD432C">
      <w:pPr>
        <w:jc w:val="both"/>
        <w:rPr>
          <w:b/>
        </w:rPr>
      </w:pPr>
      <w:r>
        <w:rPr>
          <w:b/>
        </w:rPr>
        <w:t>Decision of the Cayman Court</w:t>
      </w:r>
    </w:p>
    <w:p w:rsidR="00094712" w:rsidRPr="00581BD7" w:rsidRDefault="00873E6F" w:rsidP="00CD432C">
      <w:pPr>
        <w:jc w:val="both"/>
      </w:pPr>
      <w:r>
        <w:t xml:space="preserve">Justice Doyle’s lengthy judgment sets out a detailed analysis of the factual evidence before the Court, and his conclusion that ultimately it was the evidence of Dr Fan which he found to be more credible. This led him to conclude that it was just and equitable to wind up the Partnership. Dr Fan had proved a justifiable loss of trust and confidence in the management of the Partnership </w:t>
      </w:r>
      <w:r w:rsidR="00581BD7">
        <w:t>by the GP as</w:t>
      </w:r>
      <w:r>
        <w:t xml:space="preserve"> the affairs of the Partnership had been conduc</w:t>
      </w:r>
      <w:r w:rsidR="00B34D8E">
        <w:t>t</w:t>
      </w:r>
      <w:r>
        <w:t xml:space="preserve">ed by the GP in a manner which is oppressive, in breach of Dr </w:t>
      </w:r>
      <w:r>
        <w:lastRenderedPageBreak/>
        <w:t xml:space="preserve">Fan’s legitimate expectation and understanding, and </w:t>
      </w:r>
      <w:r w:rsidR="00B34D8E">
        <w:t xml:space="preserve">in breach of its fiduciary duties and to act in good faith and in the best interests of the Partnership. </w:t>
      </w:r>
      <w:r w:rsidR="00581BD7">
        <w:t>He also emphasized that Dr Zhang was ‘</w:t>
      </w:r>
      <w:r w:rsidR="00581BD7">
        <w:rPr>
          <w:i/>
        </w:rPr>
        <w:t>hopelessly conflicted and has caused the GP not to act in the best interests of the limited partners’</w:t>
      </w:r>
      <w:r w:rsidR="00581BD7">
        <w:t xml:space="preserve">. </w:t>
      </w:r>
    </w:p>
    <w:p w:rsidR="00B34D8E" w:rsidRDefault="00B34D8E" w:rsidP="00CD432C">
      <w:pPr>
        <w:jc w:val="both"/>
      </w:pPr>
      <w:r>
        <w:t xml:space="preserve">The judgment also confirms that the Court has jurisdiction to winding up a Partnership upon the presentation of a just and equitable petition by one of the limited partners. The precise nature of that jurisdiction arises either under </w:t>
      </w:r>
      <w:proofErr w:type="gramStart"/>
      <w:r>
        <w:t>s.35(</w:t>
      </w:r>
      <w:proofErr w:type="gramEnd"/>
      <w:r>
        <w:t xml:space="preserve">e) of the Partnership Act, as applied by s.3 of the Exempted Limited Partnerships Act (“ELPA”), or pursuant to s.92(e) of the Companies Act as applied by s.36(3) of the ELPA, although in this case the exact section was not at issue between the Parties and liquidators have now been appointed pursuant to the powers granted to them under the Companies Act. </w:t>
      </w:r>
    </w:p>
    <w:p w:rsidR="00B34D8E" w:rsidRDefault="00B34D8E" w:rsidP="00CD432C">
      <w:pPr>
        <w:jc w:val="both"/>
      </w:pPr>
      <w:r>
        <w:rPr>
          <w:b/>
        </w:rPr>
        <w:t>Comment</w:t>
      </w:r>
    </w:p>
    <w:p w:rsidR="00581BD7" w:rsidRPr="00581BD7" w:rsidRDefault="00B34D8E" w:rsidP="00CD432C">
      <w:pPr>
        <w:jc w:val="both"/>
      </w:pPr>
      <w:r>
        <w:t>Whilst the decision as to whether it is just and equitable to wind up a partnership (or a company) will depend heavily on the facts and the evidence before the Court, it is clear from Justice Doyle’s judgment that the conflict of interest in the GP’s decision making was a key factor in him leading to his conclusion in this case. In particular, Justice Doyle held that “</w:t>
      </w:r>
      <w:r w:rsidRPr="00B34D8E">
        <w:rPr>
          <w:i/>
        </w:rPr>
        <w:t>A general partner acting in good faith and in the best interests of the Partnership would primarily have regard to the position of the limited partners</w:t>
      </w:r>
      <w:r w:rsidR="00581BD7">
        <w:t>”. It is also worth noting that Justice Doyle awarded indemnity costs to Dr Fan for the GP’s “</w:t>
      </w:r>
      <w:r w:rsidR="00581BD7">
        <w:rPr>
          <w:i/>
        </w:rPr>
        <w:t>somewhat cavalier attitude towards compliance with important local legal requirements in the Cayman Islands in respect of the maintenance of a registered office and the registration of the GP…</w:t>
      </w:r>
      <w:r w:rsidR="00581BD7">
        <w:t xml:space="preserve">” </w:t>
      </w:r>
    </w:p>
    <w:p w:rsidR="00581BD7" w:rsidRDefault="00581BD7" w:rsidP="00581BD7">
      <w:pPr>
        <w:jc w:val="both"/>
      </w:pPr>
      <w:r>
        <w:t xml:space="preserve">The Court’s comments on conflicts of interest and the important of proper compliance with local requirements </w:t>
      </w:r>
      <w:r>
        <w:t>will be of particular importance to directors acting on behalf of general partners in Cayman</w:t>
      </w:r>
      <w:r>
        <w:t>,</w:t>
      </w:r>
      <w:r>
        <w:t xml:space="preserve"> and continues the trend of the Cayman Courts enforcing limited partners’ rights in recent cases. </w:t>
      </w:r>
    </w:p>
    <w:p w:rsidR="00CD432C" w:rsidRDefault="00CD432C" w:rsidP="00CD432C">
      <w:pPr>
        <w:jc w:val="both"/>
      </w:pPr>
    </w:p>
    <w:p w:rsidR="00B814D0" w:rsidRDefault="00B814D0" w:rsidP="00B814D0">
      <w:pPr>
        <w:pBdr>
          <w:bottom w:val="single" w:sz="12" w:space="31" w:color="auto"/>
        </w:pBdr>
        <w:tabs>
          <w:tab w:val="left" w:pos="7650"/>
        </w:tabs>
        <w:spacing w:line="240" w:lineRule="auto"/>
        <w:jc w:val="both"/>
        <w:rPr>
          <w:i/>
        </w:rPr>
      </w:pPr>
    </w:p>
    <w:p w:rsidR="00B814D0" w:rsidRDefault="00B814D0" w:rsidP="00B814D0">
      <w:pPr>
        <w:pBdr>
          <w:bottom w:val="single" w:sz="12" w:space="31" w:color="auto"/>
        </w:pBdr>
        <w:tabs>
          <w:tab w:val="left" w:pos="7650"/>
        </w:tabs>
        <w:spacing w:line="240" w:lineRule="auto"/>
        <w:jc w:val="both"/>
        <w:rPr>
          <w:i/>
        </w:rPr>
      </w:pPr>
    </w:p>
    <w:p w:rsidR="00B814D0" w:rsidRDefault="00B814D0" w:rsidP="00B814D0">
      <w:pPr>
        <w:pBdr>
          <w:bottom w:val="single" w:sz="12" w:space="31" w:color="auto"/>
        </w:pBdr>
        <w:tabs>
          <w:tab w:val="left" w:pos="7650"/>
        </w:tabs>
        <w:spacing w:line="240" w:lineRule="auto"/>
        <w:jc w:val="both"/>
        <w:rPr>
          <w:i/>
        </w:rPr>
      </w:pPr>
    </w:p>
    <w:p w:rsidR="00B814D0" w:rsidRDefault="00B814D0" w:rsidP="00B814D0">
      <w:pPr>
        <w:pBdr>
          <w:bottom w:val="single" w:sz="12" w:space="31" w:color="auto"/>
        </w:pBdr>
        <w:tabs>
          <w:tab w:val="left" w:pos="7650"/>
        </w:tabs>
        <w:spacing w:line="240" w:lineRule="auto"/>
        <w:jc w:val="both"/>
        <w:rPr>
          <w:i/>
        </w:rPr>
      </w:pPr>
    </w:p>
    <w:p w:rsidR="00B814D0" w:rsidRDefault="00B814D0" w:rsidP="00B814D0">
      <w:pPr>
        <w:pBdr>
          <w:bottom w:val="single" w:sz="12" w:space="31" w:color="auto"/>
        </w:pBdr>
        <w:tabs>
          <w:tab w:val="left" w:pos="7650"/>
        </w:tabs>
        <w:spacing w:line="240" w:lineRule="auto"/>
        <w:jc w:val="both"/>
        <w:rPr>
          <w:i/>
        </w:rPr>
      </w:pPr>
    </w:p>
    <w:p w:rsidR="00B814D0" w:rsidRDefault="00B814D0" w:rsidP="00B814D0">
      <w:pPr>
        <w:pBdr>
          <w:bottom w:val="single" w:sz="12" w:space="31" w:color="auto"/>
        </w:pBdr>
        <w:tabs>
          <w:tab w:val="left" w:pos="7650"/>
        </w:tabs>
        <w:spacing w:line="240" w:lineRule="auto"/>
        <w:jc w:val="both"/>
        <w:rPr>
          <w:i/>
        </w:rPr>
      </w:pPr>
      <w:bookmarkStart w:id="0" w:name="_GoBack"/>
      <w:bookmarkEnd w:id="0"/>
    </w:p>
    <w:p w:rsidR="00B814D0" w:rsidRDefault="00B814D0" w:rsidP="00B814D0">
      <w:pPr>
        <w:pBdr>
          <w:bottom w:val="single" w:sz="12" w:space="31" w:color="auto"/>
        </w:pBdr>
        <w:tabs>
          <w:tab w:val="left" w:pos="7650"/>
        </w:tabs>
        <w:spacing w:line="240" w:lineRule="auto"/>
        <w:jc w:val="both"/>
        <w:rPr>
          <w:i/>
        </w:rPr>
      </w:pPr>
    </w:p>
    <w:p w:rsidR="00B814D0" w:rsidRPr="00C37A4F" w:rsidRDefault="00B814D0" w:rsidP="00B814D0">
      <w:pPr>
        <w:pBdr>
          <w:bottom w:val="single" w:sz="12" w:space="31" w:color="auto"/>
        </w:pBdr>
        <w:tabs>
          <w:tab w:val="left" w:pos="7650"/>
        </w:tabs>
        <w:spacing w:line="240" w:lineRule="auto"/>
        <w:jc w:val="both"/>
        <w:rPr>
          <w:i/>
        </w:rPr>
      </w:pPr>
    </w:p>
    <w:p w:rsidR="00B814D0" w:rsidRPr="00C37A4F" w:rsidRDefault="00B814D0" w:rsidP="00B814D0">
      <w:pPr>
        <w:autoSpaceDE w:val="0"/>
        <w:autoSpaceDN w:val="0"/>
        <w:adjustRightInd w:val="0"/>
        <w:jc w:val="both"/>
        <w:rPr>
          <w:lang w:val="en-GB"/>
        </w:rPr>
      </w:pPr>
      <w:r w:rsidRPr="00C37A4F">
        <w:rPr>
          <w:rFonts w:cs="Arial"/>
          <w:b/>
          <w:i/>
          <w:lang w:val="en-GB"/>
        </w:rPr>
        <w:t>This client memorandum is intended to provide only general information for the clients and professional contacts of Travers Thorp Alberga.  It does not purport to be comprehensive or to render legal advice.  Please do not hesitate to contact Travers Thorp Alberga (</w:t>
      </w:r>
      <w:hyperlink r:id="rId8" w:history="1">
        <w:r w:rsidRPr="00DB3606">
          <w:rPr>
            <w:rStyle w:val="Hyperlink"/>
            <w:rFonts w:cs="Arial"/>
            <w:b/>
            <w:i/>
            <w:lang w:val="en-GB"/>
          </w:rPr>
          <w:t>bpatel@traversthorpalberga.com</w:t>
        </w:r>
      </w:hyperlink>
      <w:r w:rsidRPr="00C37A4F">
        <w:rPr>
          <w:rFonts w:cs="Arial"/>
          <w:b/>
          <w:i/>
          <w:lang w:val="en-GB"/>
        </w:rPr>
        <w:t xml:space="preserve">) at any time if you have any specific questions or would like more detail on any of the points made in this memorandum.  </w:t>
      </w:r>
    </w:p>
    <w:p w:rsidR="00626FB8" w:rsidRPr="00B814D0" w:rsidRDefault="00626FB8">
      <w:pPr>
        <w:rPr>
          <w:lang w:val="en-GB"/>
        </w:rPr>
      </w:pPr>
    </w:p>
    <w:sectPr w:rsidR="00626FB8" w:rsidRPr="00B814D0" w:rsidSect="00042C0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780" w:rsidRDefault="00380780" w:rsidP="00CD432C">
      <w:pPr>
        <w:spacing w:after="0" w:line="240" w:lineRule="auto"/>
      </w:pPr>
      <w:r>
        <w:separator/>
      </w:r>
    </w:p>
  </w:endnote>
  <w:endnote w:type="continuationSeparator" w:id="0">
    <w:p w:rsidR="00380780" w:rsidRDefault="00380780" w:rsidP="00CD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780" w:rsidRDefault="00380780" w:rsidP="00CD432C">
      <w:pPr>
        <w:spacing w:after="0" w:line="240" w:lineRule="auto"/>
      </w:pPr>
      <w:r>
        <w:separator/>
      </w:r>
    </w:p>
  </w:footnote>
  <w:footnote w:type="continuationSeparator" w:id="0">
    <w:p w:rsidR="00380780" w:rsidRDefault="00380780" w:rsidP="00CD432C">
      <w:pPr>
        <w:spacing w:after="0" w:line="240" w:lineRule="auto"/>
      </w:pPr>
      <w:r>
        <w:continuationSeparator/>
      </w:r>
    </w:p>
  </w:footnote>
  <w:footnote w:id="1">
    <w:p w:rsidR="00B814D0" w:rsidRDefault="00B814D0">
      <w:pPr>
        <w:pStyle w:val="FootnoteText"/>
      </w:pPr>
      <w:r>
        <w:rPr>
          <w:rStyle w:val="FootnoteReference"/>
        </w:rPr>
        <w:footnoteRef/>
      </w:r>
      <w:r>
        <w:t xml:space="preserve"> </w:t>
      </w:r>
      <w:r w:rsidRPr="00B814D0">
        <w:t xml:space="preserve">Bhavesh Patel led the Travers Thorp Alberga team (consisting of senior associates David Jin and Bryan </w:t>
      </w:r>
      <w:proofErr w:type="gramStart"/>
      <w:r w:rsidRPr="00B814D0">
        <w:t>Little</w:t>
      </w:r>
      <w:proofErr w:type="gramEnd"/>
      <w:r w:rsidRPr="00B814D0">
        <w:t xml:space="preserve">), instructing Ben Valentin QC of Fountain Court chambers, that successfully represented the Petitioner Dr </w:t>
      </w:r>
      <w:proofErr w:type="spellStart"/>
      <w:r w:rsidRPr="00B814D0">
        <w:t>Xiaohu</w:t>
      </w:r>
      <w:proofErr w:type="spellEnd"/>
      <w:r w:rsidRPr="00B814D0">
        <w:t xml:space="preserve"> Fan in this matter.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E47" w:rsidRDefault="00380780">
    <w:pPr>
      <w:pStyle w:val="Header"/>
    </w:pPr>
    <w:r>
      <w:rPr>
        <w:noProof/>
      </w:rPr>
      <w:drawing>
        <wp:anchor distT="0" distB="0" distL="114300" distR="114300" simplePos="0" relativeHeight="251659264" behindDoc="1" locked="0" layoutInCell="1" allowOverlap="1" wp14:anchorId="381FA262" wp14:editId="30A55C2D">
          <wp:simplePos x="0" y="0"/>
          <wp:positionH relativeFrom="column">
            <wp:posOffset>5143500</wp:posOffset>
          </wp:positionH>
          <wp:positionV relativeFrom="paragraph">
            <wp:posOffset>-389890</wp:posOffset>
          </wp:positionV>
          <wp:extent cx="1333500" cy="825500"/>
          <wp:effectExtent l="0" t="0" r="0" b="0"/>
          <wp:wrapTight wrapText="bothSides">
            <wp:wrapPolygon edited="0">
              <wp:start x="0" y="0"/>
              <wp:lineTo x="0" y="20935"/>
              <wp:lineTo x="21291" y="20935"/>
              <wp:lineTo x="21291"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3500"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B54681"/>
    <w:multiLevelType w:val="hybridMultilevel"/>
    <w:tmpl w:val="F52C4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2C"/>
    <w:rsid w:val="00094712"/>
    <w:rsid w:val="001156A0"/>
    <w:rsid w:val="00380780"/>
    <w:rsid w:val="00581BD7"/>
    <w:rsid w:val="00626FB8"/>
    <w:rsid w:val="00676B9D"/>
    <w:rsid w:val="00873E6F"/>
    <w:rsid w:val="00910B4A"/>
    <w:rsid w:val="00B34D8E"/>
    <w:rsid w:val="00B814D0"/>
    <w:rsid w:val="00BA14A5"/>
    <w:rsid w:val="00CD432C"/>
    <w:rsid w:val="00E03112"/>
    <w:rsid w:val="00E15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5514D-A181-4B3C-9315-C691AFD4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3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32C"/>
    <w:rPr>
      <w:color w:val="0563C1" w:themeColor="hyperlink"/>
      <w:u w:val="single"/>
    </w:rPr>
  </w:style>
  <w:style w:type="paragraph" w:styleId="FootnoteText">
    <w:name w:val="footnote text"/>
    <w:basedOn w:val="Normal"/>
    <w:link w:val="FootnoteTextChar"/>
    <w:uiPriority w:val="99"/>
    <w:semiHidden/>
    <w:unhideWhenUsed/>
    <w:rsid w:val="00CD4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432C"/>
    <w:rPr>
      <w:sz w:val="20"/>
      <w:szCs w:val="20"/>
    </w:rPr>
  </w:style>
  <w:style w:type="character" w:styleId="FootnoteReference">
    <w:name w:val="footnote reference"/>
    <w:basedOn w:val="DefaultParagraphFont"/>
    <w:uiPriority w:val="99"/>
    <w:semiHidden/>
    <w:unhideWhenUsed/>
    <w:rsid w:val="00CD432C"/>
    <w:rPr>
      <w:vertAlign w:val="superscript"/>
    </w:rPr>
  </w:style>
  <w:style w:type="paragraph" w:styleId="ListParagraph">
    <w:name w:val="List Paragraph"/>
    <w:basedOn w:val="Normal"/>
    <w:uiPriority w:val="34"/>
    <w:qFormat/>
    <w:rsid w:val="00CD432C"/>
    <w:pPr>
      <w:ind w:left="720"/>
      <w:contextualSpacing/>
    </w:pPr>
  </w:style>
  <w:style w:type="paragraph" w:styleId="Header">
    <w:name w:val="header"/>
    <w:basedOn w:val="Normal"/>
    <w:link w:val="HeaderChar"/>
    <w:uiPriority w:val="99"/>
    <w:unhideWhenUsed/>
    <w:rsid w:val="00CD4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atel@traversthorpalberg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A30CF-0F42-41DB-AEA0-8AF1F23F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Bhavesh N. Patel</dc:creator>
  <cp:keywords/>
  <dc:description/>
  <cp:lastModifiedBy>Bhavesh N. Patel</cp:lastModifiedBy>
  <cp:revision>4</cp:revision>
  <dcterms:created xsi:type="dcterms:W3CDTF">2022-06-13T16:49:00Z</dcterms:created>
  <dcterms:modified xsi:type="dcterms:W3CDTF">2022-06-13T21:15:00Z</dcterms:modified>
</cp:coreProperties>
</file>