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449" w:rsidRDefault="00960449" w:rsidP="00293CDE">
      <w:pPr>
        <w:pBdr>
          <w:bottom w:val="single" w:sz="12" w:space="1" w:color="auto"/>
        </w:pBdr>
        <w:tabs>
          <w:tab w:val="left" w:pos="7650"/>
        </w:tabs>
        <w:spacing w:beforeLines="30" w:before="72" w:afterLines="30" w:after="72"/>
        <w:rPr>
          <w:rFonts w:ascii="Arial" w:hAnsi="Arial" w:cs="Arial"/>
          <w:b/>
          <w:color w:val="000080"/>
          <w:sz w:val="28"/>
          <w:szCs w:val="28"/>
          <w:lang w:val="en-GB"/>
        </w:rPr>
      </w:pPr>
    </w:p>
    <w:p w:rsidR="00293CDE" w:rsidRPr="006168CB" w:rsidRDefault="00293CDE" w:rsidP="00293CDE">
      <w:pPr>
        <w:pBdr>
          <w:bottom w:val="single" w:sz="12" w:space="1" w:color="auto"/>
        </w:pBdr>
        <w:tabs>
          <w:tab w:val="left" w:pos="7650"/>
        </w:tabs>
        <w:spacing w:beforeLines="30" w:before="72" w:afterLines="30" w:after="72"/>
        <w:rPr>
          <w:rFonts w:ascii="Arial" w:hAnsi="Arial" w:cs="Arial"/>
          <w:b/>
          <w:color w:val="000080"/>
          <w:sz w:val="28"/>
          <w:szCs w:val="28"/>
          <w:lang w:val="en-GB"/>
        </w:rPr>
      </w:pPr>
      <w:r w:rsidRPr="006168CB">
        <w:rPr>
          <w:noProof/>
          <w:sz w:val="28"/>
          <w:szCs w:val="28"/>
          <w:lang w:val="en-GB" w:eastAsia="en-GB"/>
        </w:rPr>
        <w:drawing>
          <wp:anchor distT="0" distB="0" distL="114300" distR="114300" simplePos="0" relativeHeight="251651072" behindDoc="1" locked="0" layoutInCell="1" allowOverlap="1">
            <wp:simplePos x="0" y="0"/>
            <wp:positionH relativeFrom="column">
              <wp:posOffset>3171825</wp:posOffset>
            </wp:positionH>
            <wp:positionV relativeFrom="paragraph">
              <wp:posOffset>0</wp:posOffset>
            </wp:positionV>
            <wp:extent cx="2854960" cy="495300"/>
            <wp:effectExtent l="0" t="0" r="2540" b="0"/>
            <wp:wrapThrough wrapText="bothSides">
              <wp:wrapPolygon edited="0">
                <wp:start x="0" y="0"/>
                <wp:lineTo x="0" y="20769"/>
                <wp:lineTo x="21475" y="20769"/>
                <wp:lineTo x="21475" y="0"/>
                <wp:lineTo x="0" y="0"/>
              </wp:wrapPolygon>
            </wp:wrapThrough>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4960" cy="495300"/>
                    </a:xfrm>
                    <a:prstGeom prst="rect">
                      <a:avLst/>
                    </a:prstGeom>
                    <a:noFill/>
                  </pic:spPr>
                </pic:pic>
              </a:graphicData>
            </a:graphic>
            <wp14:sizeRelH relativeFrom="page">
              <wp14:pctWidth>0</wp14:pctWidth>
            </wp14:sizeRelH>
            <wp14:sizeRelV relativeFrom="page">
              <wp14:pctHeight>0</wp14:pctHeight>
            </wp14:sizeRelV>
          </wp:anchor>
        </w:drawing>
      </w:r>
      <w:r w:rsidRPr="006168CB">
        <w:rPr>
          <w:rFonts w:ascii="Arial" w:hAnsi="Arial" w:cs="Arial"/>
          <w:b/>
          <w:color w:val="000080"/>
          <w:sz w:val="28"/>
          <w:szCs w:val="28"/>
          <w:lang w:val="en-GB"/>
        </w:rPr>
        <w:t>Client Memorandum</w:t>
      </w:r>
    </w:p>
    <w:p w:rsidR="00F47D16" w:rsidRDefault="00F47D16" w:rsidP="00783071">
      <w:pPr>
        <w:pBdr>
          <w:bottom w:val="single" w:sz="12" w:space="1" w:color="auto"/>
        </w:pBdr>
        <w:tabs>
          <w:tab w:val="left" w:pos="7650"/>
        </w:tabs>
        <w:spacing w:beforeLines="30" w:before="72" w:afterLines="30" w:after="72"/>
        <w:rPr>
          <w:rFonts w:ascii="Arial" w:hAnsi="Arial" w:cs="Arial"/>
          <w:b/>
          <w:color w:val="000080"/>
          <w:sz w:val="32"/>
          <w:szCs w:val="32"/>
          <w:lang w:val="en-GB"/>
        </w:rPr>
      </w:pPr>
    </w:p>
    <w:p w:rsidR="005D1FE2" w:rsidRDefault="005D1FE2" w:rsidP="00501D31">
      <w:pPr>
        <w:pBdr>
          <w:bottom w:val="single" w:sz="12" w:space="1" w:color="auto"/>
        </w:pBdr>
        <w:tabs>
          <w:tab w:val="left" w:pos="7650"/>
        </w:tabs>
        <w:jc w:val="both"/>
        <w:rPr>
          <w:rFonts w:ascii="Arial" w:hAnsi="Arial" w:cs="Arial"/>
          <w:b/>
          <w:sz w:val="20"/>
          <w:szCs w:val="20"/>
          <w:lang w:val="en-GB"/>
        </w:rPr>
      </w:pPr>
    </w:p>
    <w:p w:rsidR="00960449" w:rsidRPr="00142DA9" w:rsidRDefault="006A4A89" w:rsidP="00783071">
      <w:pPr>
        <w:pBdr>
          <w:bottom w:val="single" w:sz="12" w:space="1" w:color="auto"/>
        </w:pBdr>
        <w:spacing w:beforeLines="30" w:before="72" w:afterLines="30" w:after="72"/>
        <w:jc w:val="both"/>
        <w:rPr>
          <w:rFonts w:asciiTheme="minorHAnsi" w:hAnsiTheme="minorHAnsi" w:cstheme="minorHAnsi"/>
          <w:b/>
          <w:i/>
          <w:color w:val="1F497D"/>
          <w:lang w:val="en-GB"/>
        </w:rPr>
      </w:pPr>
      <w:r w:rsidRPr="00142DA9">
        <w:rPr>
          <w:rFonts w:asciiTheme="minorHAnsi" w:hAnsiTheme="minorHAnsi" w:cstheme="minorHAnsi"/>
          <w:b/>
          <w:i/>
          <w:lang w:val="en-GB"/>
        </w:rPr>
        <w:t>In</w:t>
      </w:r>
      <w:r w:rsidR="00142DA9" w:rsidRPr="00142DA9">
        <w:rPr>
          <w:rFonts w:asciiTheme="minorHAnsi" w:hAnsiTheme="minorHAnsi" w:cstheme="minorHAnsi"/>
          <w:b/>
          <w:i/>
          <w:lang w:val="en-GB"/>
        </w:rPr>
        <w:t xml:space="preserve"> the matter of CS Asia Opportunities Master Fund </w:t>
      </w:r>
      <w:r w:rsidR="00142DA9" w:rsidRPr="00142DA9">
        <w:rPr>
          <w:rFonts w:asciiTheme="minorHAnsi" w:hAnsiTheme="minorHAnsi" w:cstheme="minorHAnsi"/>
          <w:b/>
          <w:lang w:val="en-GB"/>
        </w:rPr>
        <w:t xml:space="preserve">FSD 34 OF 2022 </w:t>
      </w:r>
      <w:r w:rsidRPr="00142DA9">
        <w:rPr>
          <w:rFonts w:asciiTheme="minorHAnsi" w:hAnsiTheme="minorHAnsi" w:cstheme="minorHAnsi"/>
          <w:b/>
          <w:i/>
          <w:lang w:val="en-GB"/>
        </w:rPr>
        <w:t>– jud</w:t>
      </w:r>
      <w:r w:rsidR="00142DA9" w:rsidRPr="00142DA9">
        <w:rPr>
          <w:rFonts w:asciiTheme="minorHAnsi" w:hAnsiTheme="minorHAnsi" w:cstheme="minorHAnsi"/>
          <w:b/>
          <w:i/>
          <w:lang w:val="en-GB"/>
        </w:rPr>
        <w:t>gment delivered 29 April 2022</w:t>
      </w:r>
    </w:p>
    <w:p w:rsidR="00F47D16" w:rsidRDefault="00F47D16" w:rsidP="00083B05">
      <w:pPr>
        <w:spacing w:beforeLines="30" w:before="72" w:afterLines="30" w:after="72"/>
        <w:jc w:val="both"/>
        <w:rPr>
          <w:rFonts w:ascii="Arial" w:hAnsi="Arial" w:cs="Arial"/>
          <w:b/>
          <w:sz w:val="22"/>
          <w:szCs w:val="22"/>
          <w:u w:val="single"/>
          <w:lang w:val="en-GB"/>
        </w:rPr>
      </w:pPr>
    </w:p>
    <w:p w:rsidR="008A331D" w:rsidRDefault="008A331D" w:rsidP="00142DA9">
      <w:pPr>
        <w:jc w:val="both"/>
        <w:rPr>
          <w:rFonts w:asciiTheme="minorHAnsi" w:hAnsiTheme="minorHAnsi" w:cstheme="minorHAnsi"/>
          <w:b/>
          <w:u w:val="single"/>
          <w:lang w:val="en-GB"/>
        </w:rPr>
      </w:pPr>
      <w:r>
        <w:rPr>
          <w:rFonts w:asciiTheme="minorHAnsi" w:hAnsiTheme="minorHAnsi" w:cstheme="minorHAnsi"/>
          <w:b/>
          <w:u w:val="single"/>
          <w:lang w:val="en-GB"/>
        </w:rPr>
        <w:t>Conclusion</w:t>
      </w:r>
    </w:p>
    <w:p w:rsidR="008A331D" w:rsidRPr="008A331D" w:rsidRDefault="008A331D" w:rsidP="00142DA9">
      <w:pPr>
        <w:jc w:val="both"/>
        <w:rPr>
          <w:rFonts w:asciiTheme="minorHAnsi" w:hAnsiTheme="minorHAnsi" w:cstheme="minorHAnsi"/>
          <w:b/>
          <w:u w:val="single"/>
          <w:lang w:val="en-GB"/>
        </w:rPr>
      </w:pPr>
    </w:p>
    <w:p w:rsidR="00142DA9" w:rsidRPr="00142DA9" w:rsidRDefault="00142DA9" w:rsidP="00142DA9">
      <w:pPr>
        <w:jc w:val="both"/>
        <w:rPr>
          <w:rFonts w:asciiTheme="minorHAnsi" w:hAnsiTheme="minorHAnsi" w:cstheme="minorHAnsi"/>
          <w:lang w:val="en-GB"/>
        </w:rPr>
      </w:pPr>
      <w:r w:rsidRPr="00142DA9">
        <w:rPr>
          <w:rFonts w:asciiTheme="minorHAnsi" w:hAnsiTheme="minorHAnsi" w:cstheme="minorHAnsi"/>
          <w:lang w:val="en-GB"/>
        </w:rPr>
        <w:t xml:space="preserve">In </w:t>
      </w:r>
      <w:r w:rsidRPr="00142DA9">
        <w:rPr>
          <w:rFonts w:asciiTheme="minorHAnsi" w:hAnsiTheme="minorHAnsi" w:cstheme="minorHAnsi"/>
          <w:b/>
          <w:i/>
          <w:lang w:val="en-GB"/>
        </w:rPr>
        <w:t xml:space="preserve">In the matter of CS Asia Opportunities Master Fund </w:t>
      </w:r>
      <w:r w:rsidRPr="00142DA9">
        <w:rPr>
          <w:rFonts w:asciiTheme="minorHAnsi" w:hAnsiTheme="minorHAnsi" w:cstheme="minorHAnsi"/>
          <w:lang w:val="en-GB"/>
        </w:rPr>
        <w:t>FSD 34 of 2022 (DDJ), Travers Thorp Alberga</w:t>
      </w:r>
      <w:r w:rsidR="008B5BF1">
        <w:rPr>
          <w:rStyle w:val="FootnoteReference"/>
          <w:rFonts w:asciiTheme="minorHAnsi" w:hAnsiTheme="minorHAnsi"/>
          <w:lang w:val="en-GB"/>
        </w:rPr>
        <w:footnoteReference w:id="1"/>
      </w:r>
      <w:r w:rsidRPr="00142DA9">
        <w:rPr>
          <w:rFonts w:asciiTheme="minorHAnsi" w:hAnsiTheme="minorHAnsi" w:cstheme="minorHAnsi"/>
          <w:lang w:val="en-GB"/>
        </w:rPr>
        <w:t xml:space="preserve"> </w:t>
      </w:r>
      <w:r w:rsidR="008A331D">
        <w:rPr>
          <w:rFonts w:asciiTheme="minorHAnsi" w:hAnsiTheme="minorHAnsi" w:cstheme="minorHAnsi"/>
          <w:lang w:val="en-GB"/>
        </w:rPr>
        <w:t xml:space="preserve">successfully </w:t>
      </w:r>
      <w:r w:rsidRPr="00142DA9">
        <w:rPr>
          <w:rFonts w:asciiTheme="minorHAnsi" w:hAnsiTheme="minorHAnsi" w:cstheme="minorHAnsi"/>
          <w:lang w:val="en-GB"/>
        </w:rPr>
        <w:t xml:space="preserve">represented CS Asia Opportunities Master Fund (the “Fund”).  The Fund was the respondent to a winding up petition issued pursuant to section 92(d) of the </w:t>
      </w:r>
      <w:r w:rsidRPr="007335F7">
        <w:rPr>
          <w:rFonts w:asciiTheme="minorHAnsi" w:hAnsiTheme="minorHAnsi" w:cstheme="minorHAnsi"/>
          <w:i/>
          <w:lang w:val="en-GB"/>
        </w:rPr>
        <w:t>Companies Act</w:t>
      </w:r>
      <w:r w:rsidRPr="00142DA9">
        <w:rPr>
          <w:rFonts w:asciiTheme="minorHAnsi" w:hAnsiTheme="minorHAnsi" w:cstheme="minorHAnsi"/>
          <w:lang w:val="en-GB"/>
        </w:rPr>
        <w:t xml:space="preserve"> (2022 Revision) on the basis of an unsatisfied statutory demand served on the Fund by Altair Asia Investments Limited (in Official Liquidation) (“Altair” or the “Petitioner”)</w:t>
      </w:r>
      <w:r w:rsidR="00075C66">
        <w:rPr>
          <w:rFonts w:asciiTheme="minorHAnsi" w:hAnsiTheme="minorHAnsi" w:cstheme="minorHAnsi"/>
          <w:lang w:val="en-GB"/>
        </w:rPr>
        <w:t xml:space="preserve"> represented by </w:t>
      </w:r>
      <w:r w:rsidR="008A331D">
        <w:rPr>
          <w:rFonts w:asciiTheme="minorHAnsi" w:hAnsiTheme="minorHAnsi" w:cstheme="minorHAnsi"/>
          <w:lang w:val="en-GB"/>
        </w:rPr>
        <w:t xml:space="preserve">Ogier instructed by the </w:t>
      </w:r>
      <w:r w:rsidR="00075C66">
        <w:rPr>
          <w:rFonts w:asciiTheme="minorHAnsi" w:hAnsiTheme="minorHAnsi" w:cstheme="minorHAnsi"/>
          <w:lang w:val="en-GB"/>
        </w:rPr>
        <w:t>Joint Official Liquidators, Mr. Simon Conway, Mr. Man Chun So and Mr. Peter Greaves of PwC</w:t>
      </w:r>
      <w:r w:rsidRPr="00142DA9">
        <w:rPr>
          <w:rFonts w:asciiTheme="minorHAnsi" w:hAnsiTheme="minorHAnsi" w:cstheme="minorHAnsi"/>
          <w:lang w:val="en-GB"/>
        </w:rPr>
        <w:t xml:space="preserve">.    Mr. Justice David Doyle, sitting as a judge of the Financial Services Division of the Grand Court of the Cayman Islands, dismissed the petition and refused to wind up the Fund.  </w:t>
      </w:r>
    </w:p>
    <w:p w:rsidR="00142DA9" w:rsidRDefault="00142DA9" w:rsidP="00142DA9">
      <w:pPr>
        <w:jc w:val="both"/>
        <w:rPr>
          <w:rFonts w:asciiTheme="minorHAnsi" w:hAnsiTheme="minorHAnsi" w:cstheme="minorHAnsi"/>
          <w:lang w:val="en-GB"/>
        </w:rPr>
      </w:pPr>
    </w:p>
    <w:p w:rsidR="008A331D" w:rsidRPr="008A331D" w:rsidRDefault="008A331D" w:rsidP="00142DA9">
      <w:pPr>
        <w:jc w:val="both"/>
        <w:rPr>
          <w:rFonts w:asciiTheme="minorHAnsi" w:hAnsiTheme="minorHAnsi" w:cstheme="minorHAnsi"/>
          <w:b/>
          <w:u w:val="single"/>
          <w:lang w:val="en-GB"/>
        </w:rPr>
      </w:pPr>
      <w:r>
        <w:rPr>
          <w:rFonts w:asciiTheme="minorHAnsi" w:hAnsiTheme="minorHAnsi" w:cstheme="minorHAnsi"/>
          <w:b/>
          <w:u w:val="single"/>
          <w:lang w:val="en-GB"/>
        </w:rPr>
        <w:t>Facts</w:t>
      </w:r>
    </w:p>
    <w:p w:rsidR="008A331D" w:rsidRPr="00142DA9" w:rsidRDefault="008A331D" w:rsidP="00142DA9">
      <w:pPr>
        <w:jc w:val="both"/>
        <w:rPr>
          <w:rFonts w:asciiTheme="minorHAnsi" w:hAnsiTheme="minorHAnsi" w:cstheme="minorHAnsi"/>
          <w:lang w:val="en-GB"/>
        </w:rPr>
      </w:pPr>
    </w:p>
    <w:p w:rsidR="00142DA9" w:rsidRPr="00142DA9" w:rsidRDefault="00075C66" w:rsidP="00142DA9">
      <w:pPr>
        <w:jc w:val="both"/>
        <w:rPr>
          <w:rFonts w:asciiTheme="minorHAnsi" w:hAnsiTheme="minorHAnsi" w:cstheme="minorHAnsi"/>
          <w:lang w:val="en-GB"/>
        </w:rPr>
      </w:pPr>
      <w:r>
        <w:rPr>
          <w:rFonts w:asciiTheme="minorHAnsi" w:hAnsiTheme="minorHAnsi" w:cstheme="minorHAnsi"/>
          <w:lang w:val="en-GB"/>
        </w:rPr>
        <w:t xml:space="preserve">The Petitioner </w:t>
      </w:r>
      <w:r w:rsidR="00142DA9">
        <w:rPr>
          <w:rFonts w:asciiTheme="minorHAnsi" w:hAnsiTheme="minorHAnsi" w:cstheme="minorHAnsi"/>
          <w:lang w:val="en-GB"/>
        </w:rPr>
        <w:t>caused a statutory demand to be served</w:t>
      </w:r>
      <w:r w:rsidR="00142DA9" w:rsidRPr="00142DA9">
        <w:rPr>
          <w:rFonts w:asciiTheme="minorHAnsi" w:hAnsiTheme="minorHAnsi" w:cstheme="minorHAnsi"/>
          <w:lang w:val="en-GB"/>
        </w:rPr>
        <w:t xml:space="preserve"> on the Fund for HK$73,004,750.21</w:t>
      </w:r>
      <w:r w:rsidR="00142DA9">
        <w:rPr>
          <w:rFonts w:asciiTheme="minorHAnsi" w:hAnsiTheme="minorHAnsi" w:cstheme="minorHAnsi"/>
          <w:lang w:val="en-GB"/>
        </w:rPr>
        <w:t>,</w:t>
      </w:r>
      <w:r w:rsidR="00142DA9" w:rsidRPr="00142DA9">
        <w:rPr>
          <w:rFonts w:asciiTheme="minorHAnsi" w:hAnsiTheme="minorHAnsi" w:cstheme="minorHAnsi"/>
          <w:lang w:val="en-GB"/>
        </w:rPr>
        <w:t xml:space="preserve"> which the Petitioner asserted was due to it under the terms of a complex financing transaction.  When the statutory demand was not satisfied, </w:t>
      </w:r>
      <w:r w:rsidR="00142DA9">
        <w:rPr>
          <w:rFonts w:asciiTheme="minorHAnsi" w:hAnsiTheme="minorHAnsi" w:cstheme="minorHAnsi"/>
          <w:lang w:val="en-GB"/>
        </w:rPr>
        <w:t xml:space="preserve">the JOLs of </w:t>
      </w:r>
      <w:r w:rsidR="00142DA9" w:rsidRPr="00142DA9">
        <w:rPr>
          <w:rFonts w:asciiTheme="minorHAnsi" w:hAnsiTheme="minorHAnsi" w:cstheme="minorHAnsi"/>
          <w:lang w:val="en-GB"/>
        </w:rPr>
        <w:t>Altair</w:t>
      </w:r>
      <w:r w:rsidR="00142DA9">
        <w:rPr>
          <w:rFonts w:asciiTheme="minorHAnsi" w:hAnsiTheme="minorHAnsi" w:cstheme="minorHAnsi"/>
          <w:lang w:val="en-GB"/>
        </w:rPr>
        <w:t xml:space="preserve"> </w:t>
      </w:r>
      <w:r w:rsidR="00142DA9" w:rsidRPr="00142DA9">
        <w:rPr>
          <w:rFonts w:asciiTheme="minorHAnsi" w:hAnsiTheme="minorHAnsi" w:cstheme="minorHAnsi"/>
          <w:lang w:val="en-GB"/>
        </w:rPr>
        <w:t xml:space="preserve">issued a winding up petition pursuant to section 92(d) of the </w:t>
      </w:r>
      <w:r w:rsidR="00142DA9" w:rsidRPr="007335F7">
        <w:rPr>
          <w:rFonts w:asciiTheme="minorHAnsi" w:hAnsiTheme="minorHAnsi" w:cstheme="minorHAnsi"/>
          <w:i/>
          <w:lang w:val="en-GB"/>
        </w:rPr>
        <w:t>Companies Act</w:t>
      </w:r>
      <w:r w:rsidR="00142DA9" w:rsidRPr="00142DA9">
        <w:rPr>
          <w:rFonts w:asciiTheme="minorHAnsi" w:hAnsiTheme="minorHAnsi" w:cstheme="minorHAnsi"/>
          <w:lang w:val="en-GB"/>
        </w:rPr>
        <w:t xml:space="preserve"> </w:t>
      </w:r>
      <w:r w:rsidR="00142DA9" w:rsidRPr="007335F7">
        <w:rPr>
          <w:rFonts w:asciiTheme="minorHAnsi" w:hAnsiTheme="minorHAnsi" w:cstheme="minorHAnsi"/>
          <w:i/>
          <w:lang w:val="en-GB"/>
        </w:rPr>
        <w:t>(2022 Revision)</w:t>
      </w:r>
      <w:r w:rsidR="00142DA9" w:rsidRPr="00142DA9">
        <w:rPr>
          <w:rFonts w:asciiTheme="minorHAnsi" w:hAnsiTheme="minorHAnsi" w:cstheme="minorHAnsi"/>
          <w:lang w:val="en-GB"/>
        </w:rPr>
        <w:t xml:space="preserve"> which provides</w:t>
      </w:r>
      <w:r w:rsidR="00142DA9">
        <w:rPr>
          <w:rFonts w:asciiTheme="minorHAnsi" w:hAnsiTheme="minorHAnsi" w:cstheme="minorHAnsi"/>
          <w:lang w:val="en-GB"/>
        </w:rPr>
        <w:t xml:space="preserve"> that a Cayman Islands company may be wound up by order of the Court if “the company is unable to pay its debts”. </w:t>
      </w:r>
    </w:p>
    <w:p w:rsidR="00142DA9" w:rsidRPr="00142DA9" w:rsidRDefault="00142DA9" w:rsidP="00142DA9">
      <w:pPr>
        <w:jc w:val="both"/>
        <w:rPr>
          <w:rFonts w:asciiTheme="minorHAnsi" w:hAnsiTheme="minorHAnsi" w:cstheme="minorHAnsi"/>
          <w:lang w:val="en-GB"/>
        </w:rPr>
      </w:pPr>
    </w:p>
    <w:p w:rsidR="00142DA9" w:rsidRPr="00142DA9" w:rsidRDefault="00142DA9" w:rsidP="00142DA9">
      <w:pPr>
        <w:jc w:val="both"/>
        <w:rPr>
          <w:rFonts w:asciiTheme="minorHAnsi" w:hAnsiTheme="minorHAnsi" w:cstheme="minorHAnsi"/>
          <w:lang w:val="en-GB"/>
        </w:rPr>
      </w:pPr>
      <w:r w:rsidRPr="00142DA9">
        <w:rPr>
          <w:rFonts w:asciiTheme="minorHAnsi" w:hAnsiTheme="minorHAnsi" w:cstheme="minorHAnsi"/>
          <w:lang w:val="en-GB"/>
        </w:rPr>
        <w:t>The Petition debt was said to arise out of (i) the terms of two separate prime brokerage agreements to which Altair and the Fund were each a party with a London prime brokerage company ca</w:t>
      </w:r>
      <w:r>
        <w:rPr>
          <w:rFonts w:asciiTheme="minorHAnsi" w:hAnsiTheme="minorHAnsi" w:cstheme="minorHAnsi"/>
          <w:lang w:val="en-GB"/>
        </w:rPr>
        <w:t>lled Global Prime Partners Limited</w:t>
      </w:r>
      <w:r w:rsidRPr="00142DA9">
        <w:rPr>
          <w:rFonts w:asciiTheme="minorHAnsi" w:hAnsiTheme="minorHAnsi" w:cstheme="minorHAnsi"/>
          <w:lang w:val="en-GB"/>
        </w:rPr>
        <w:t xml:space="preserve"> (</w:t>
      </w:r>
      <w:r>
        <w:rPr>
          <w:rFonts w:asciiTheme="minorHAnsi" w:hAnsiTheme="minorHAnsi" w:cstheme="minorHAnsi"/>
          <w:lang w:val="en-GB"/>
        </w:rPr>
        <w:t xml:space="preserve">“GPP” or </w:t>
      </w:r>
      <w:r w:rsidRPr="00142DA9">
        <w:rPr>
          <w:rFonts w:asciiTheme="minorHAnsi" w:hAnsiTheme="minorHAnsi" w:cstheme="minorHAnsi"/>
          <w:lang w:val="en-GB"/>
        </w:rPr>
        <w:t xml:space="preserve">the “Prime Broker”) and (ii) guarantees and cross-guarantees which Altair and the Fund had each given to GPP, as prime broker.  </w:t>
      </w:r>
      <w:r>
        <w:rPr>
          <w:rFonts w:asciiTheme="minorHAnsi" w:hAnsiTheme="minorHAnsi" w:cstheme="minorHAnsi"/>
          <w:lang w:val="en-GB"/>
        </w:rPr>
        <w:t>After</w:t>
      </w:r>
      <w:r w:rsidRPr="00142DA9">
        <w:rPr>
          <w:rFonts w:asciiTheme="minorHAnsi" w:hAnsiTheme="minorHAnsi" w:cstheme="minorHAnsi"/>
          <w:lang w:val="en-GB"/>
        </w:rPr>
        <w:t xml:space="preserve"> Altair was placed into liquidation in separate proceedings, the Prime Broker asserted a right (under the terms of a contractual agreement which Altair, the Prime Broker and the Fund had entitled “Guarantee”) over what it (the Prime Broker) said were Altair’s assets to satisfy what the Prime Broker said was a liability of the Fund to the Prime Broker. The Prime Broker then satisfied what it said was the Fund’s liability to it (the Prime Broker) from A</w:t>
      </w:r>
      <w:r w:rsidR="00075C66">
        <w:rPr>
          <w:rFonts w:asciiTheme="minorHAnsi" w:hAnsiTheme="minorHAnsi" w:cstheme="minorHAnsi"/>
          <w:lang w:val="en-GB"/>
        </w:rPr>
        <w:t>ltair’s assets held with it</w:t>
      </w:r>
      <w:r w:rsidRPr="00142DA9">
        <w:rPr>
          <w:rFonts w:asciiTheme="minorHAnsi" w:hAnsiTheme="minorHAnsi" w:cstheme="minorHAnsi"/>
          <w:lang w:val="en-GB"/>
        </w:rPr>
        <w:t>.  The J</w:t>
      </w:r>
      <w:r>
        <w:rPr>
          <w:rFonts w:asciiTheme="minorHAnsi" w:hAnsiTheme="minorHAnsi" w:cstheme="minorHAnsi"/>
          <w:lang w:val="en-GB"/>
        </w:rPr>
        <w:t>OLs</w:t>
      </w:r>
      <w:r w:rsidRPr="00142DA9">
        <w:rPr>
          <w:rFonts w:asciiTheme="minorHAnsi" w:hAnsiTheme="minorHAnsi" w:cstheme="minorHAnsi"/>
          <w:lang w:val="en-GB"/>
        </w:rPr>
        <w:t xml:space="preserve"> of Altair then called on the Fund to pay Altair the HK$73,004,750.21 which they said had been taken from Altair’s prime brokerage account by GPP in satisfaction of the Fund’s asserted liabilities to GPP.     </w:t>
      </w:r>
    </w:p>
    <w:p w:rsidR="00142DA9" w:rsidRPr="00142DA9" w:rsidRDefault="00142DA9" w:rsidP="00142DA9">
      <w:pPr>
        <w:jc w:val="both"/>
        <w:rPr>
          <w:rFonts w:asciiTheme="minorHAnsi" w:hAnsiTheme="minorHAnsi" w:cstheme="minorHAnsi"/>
          <w:lang w:val="en-GB"/>
        </w:rPr>
      </w:pPr>
    </w:p>
    <w:p w:rsidR="00142DA9" w:rsidRPr="00142DA9" w:rsidRDefault="008A331D" w:rsidP="00142DA9">
      <w:pPr>
        <w:jc w:val="both"/>
        <w:rPr>
          <w:rFonts w:asciiTheme="minorHAnsi" w:hAnsiTheme="minorHAnsi" w:cstheme="minorHAnsi"/>
          <w:lang w:val="en-GB"/>
        </w:rPr>
      </w:pPr>
      <w:r>
        <w:rPr>
          <w:rFonts w:asciiTheme="minorHAnsi" w:hAnsiTheme="minorHAnsi" w:cstheme="minorHAnsi"/>
          <w:lang w:val="en-GB"/>
        </w:rPr>
        <w:t>T</w:t>
      </w:r>
      <w:r w:rsidR="00142DA9" w:rsidRPr="00142DA9">
        <w:rPr>
          <w:rFonts w:asciiTheme="minorHAnsi" w:hAnsiTheme="minorHAnsi" w:cstheme="minorHAnsi"/>
          <w:lang w:val="en-GB"/>
        </w:rPr>
        <w:t xml:space="preserve">he Court dismissed the Petition, accepting the legal arguments made on behalf of the Fund.  First, the Court was not satisfied that the amount claimed by the Petitioner was a </w:t>
      </w:r>
      <w:r w:rsidR="00142DA9">
        <w:rPr>
          <w:rFonts w:asciiTheme="minorHAnsi" w:hAnsiTheme="minorHAnsi" w:cstheme="minorHAnsi"/>
          <w:lang w:val="en-GB"/>
        </w:rPr>
        <w:t>“</w:t>
      </w:r>
      <w:r w:rsidR="00142DA9" w:rsidRPr="00142DA9">
        <w:rPr>
          <w:rFonts w:asciiTheme="minorHAnsi" w:hAnsiTheme="minorHAnsi" w:cstheme="minorHAnsi"/>
          <w:lang w:val="en-GB"/>
        </w:rPr>
        <w:t>debt</w:t>
      </w:r>
      <w:r w:rsidR="00142DA9">
        <w:rPr>
          <w:rFonts w:asciiTheme="minorHAnsi" w:hAnsiTheme="minorHAnsi" w:cstheme="minorHAnsi"/>
          <w:lang w:val="en-GB"/>
        </w:rPr>
        <w:t xml:space="preserve">” </w:t>
      </w:r>
      <w:r w:rsidR="00142DA9" w:rsidRPr="00142DA9">
        <w:rPr>
          <w:rFonts w:asciiTheme="minorHAnsi" w:hAnsiTheme="minorHAnsi" w:cstheme="minorHAnsi"/>
          <w:lang w:val="en-GB"/>
        </w:rPr>
        <w:t xml:space="preserve">within the meaning of the </w:t>
      </w:r>
      <w:r w:rsidR="00142DA9" w:rsidRPr="007335F7">
        <w:rPr>
          <w:rFonts w:asciiTheme="minorHAnsi" w:hAnsiTheme="minorHAnsi" w:cstheme="minorHAnsi"/>
          <w:i/>
          <w:lang w:val="en-GB"/>
        </w:rPr>
        <w:t>Companies Act (2022 Revision)</w:t>
      </w:r>
      <w:r w:rsidR="00142DA9" w:rsidRPr="00142DA9">
        <w:rPr>
          <w:rFonts w:asciiTheme="minorHAnsi" w:hAnsiTheme="minorHAnsi" w:cstheme="minorHAnsi"/>
          <w:lang w:val="en-GB"/>
        </w:rPr>
        <w:t xml:space="preserve"> or that the Petitioner had adequately demonstrated in its evidence </w:t>
      </w:r>
      <w:r w:rsidR="00142DA9">
        <w:rPr>
          <w:rFonts w:asciiTheme="minorHAnsi" w:hAnsiTheme="minorHAnsi" w:cstheme="minorHAnsi"/>
          <w:lang w:val="en-GB"/>
        </w:rPr>
        <w:t>the</w:t>
      </w:r>
      <w:r w:rsidR="00142DA9" w:rsidRPr="00142DA9">
        <w:rPr>
          <w:rFonts w:asciiTheme="minorHAnsi" w:hAnsiTheme="minorHAnsi" w:cstheme="minorHAnsi"/>
          <w:lang w:val="en-GB"/>
        </w:rPr>
        <w:t xml:space="preserve"> existence of the debt.  Second, the Court was not satisfied that the Affidavit of Mr. Conway, as </w:t>
      </w:r>
      <w:r w:rsidR="00142DA9">
        <w:rPr>
          <w:rFonts w:asciiTheme="minorHAnsi" w:hAnsiTheme="minorHAnsi" w:cstheme="minorHAnsi"/>
          <w:lang w:val="en-GB"/>
        </w:rPr>
        <w:t>JOL</w:t>
      </w:r>
      <w:r w:rsidR="00142DA9" w:rsidRPr="00142DA9">
        <w:rPr>
          <w:rFonts w:asciiTheme="minorHAnsi" w:hAnsiTheme="minorHAnsi" w:cstheme="minorHAnsi"/>
          <w:lang w:val="en-GB"/>
        </w:rPr>
        <w:t xml:space="preserve"> of Altair, verifying the Petition complied with Order 3 rule 3 of the </w:t>
      </w:r>
      <w:r w:rsidR="00142DA9" w:rsidRPr="007335F7">
        <w:rPr>
          <w:rFonts w:asciiTheme="minorHAnsi" w:hAnsiTheme="minorHAnsi" w:cstheme="minorHAnsi"/>
          <w:i/>
          <w:lang w:val="en-GB"/>
        </w:rPr>
        <w:t>Companies Win</w:t>
      </w:r>
      <w:r w:rsidR="007335F7" w:rsidRPr="007335F7">
        <w:rPr>
          <w:rFonts w:asciiTheme="minorHAnsi" w:hAnsiTheme="minorHAnsi" w:cstheme="minorHAnsi"/>
          <w:i/>
          <w:lang w:val="en-GB"/>
        </w:rPr>
        <w:t>d</w:t>
      </w:r>
      <w:r w:rsidR="00142DA9" w:rsidRPr="007335F7">
        <w:rPr>
          <w:rFonts w:asciiTheme="minorHAnsi" w:hAnsiTheme="minorHAnsi" w:cstheme="minorHAnsi"/>
          <w:i/>
          <w:lang w:val="en-GB"/>
        </w:rPr>
        <w:t>ing Up Rules</w:t>
      </w:r>
      <w:r w:rsidR="00142DA9" w:rsidRPr="00142DA9">
        <w:rPr>
          <w:rFonts w:asciiTheme="minorHAnsi" w:hAnsiTheme="minorHAnsi" w:cstheme="minorHAnsi"/>
          <w:lang w:val="en-GB"/>
        </w:rPr>
        <w:t xml:space="preserve"> </w:t>
      </w:r>
      <w:r w:rsidR="00142DA9" w:rsidRPr="007335F7">
        <w:rPr>
          <w:rFonts w:asciiTheme="minorHAnsi" w:hAnsiTheme="minorHAnsi" w:cstheme="minorHAnsi"/>
          <w:i/>
          <w:lang w:val="en-GB"/>
        </w:rPr>
        <w:t>2018</w:t>
      </w:r>
      <w:r w:rsidR="00142DA9" w:rsidRPr="00142DA9">
        <w:rPr>
          <w:rFonts w:asciiTheme="minorHAnsi" w:hAnsiTheme="minorHAnsi" w:cstheme="minorHAnsi"/>
          <w:lang w:val="en-GB"/>
        </w:rPr>
        <w:t xml:space="preserve">, which requires the verifying affidavit to be sworn by a person who “has been concerned in and has personal knowledge of the matters giving rise to the petition”. Third, the Petitioner had not mentioned in its Petition or verifying affidavit that the terms of the Guarantee and the Prime Brokerage Agreements all contained exclusive jurisdiction clauses giving the courts of England and Wales exclusive jurisdiction over any dispute or claims arising out of them.  The Fund had commenced proceedings in England against the Primer Broker for negative declaratory relief that it had/has no liability to the Prime Broker as alleged by the Prime Broker and the Petitioner or at all, the Court was satisfied that those proceedings were genuine and should first be determined in England and Wales in accordance with the contractual jurisdiction clauses and constituted a genuine dispute on substantial grounds, which made it inappropriate for the </w:t>
      </w:r>
      <w:r w:rsidR="007335F7">
        <w:rPr>
          <w:rFonts w:asciiTheme="minorHAnsi" w:hAnsiTheme="minorHAnsi" w:cstheme="minorHAnsi"/>
          <w:lang w:val="en-GB"/>
        </w:rPr>
        <w:t xml:space="preserve">Cayman </w:t>
      </w:r>
      <w:r w:rsidR="00142DA9" w:rsidRPr="00142DA9">
        <w:rPr>
          <w:rFonts w:asciiTheme="minorHAnsi" w:hAnsiTheme="minorHAnsi" w:cstheme="minorHAnsi"/>
          <w:lang w:val="en-GB"/>
        </w:rPr>
        <w:t xml:space="preserve">Court to grant a winding up order over the Fund.    </w:t>
      </w:r>
    </w:p>
    <w:p w:rsidR="00142DA9" w:rsidRPr="00142DA9" w:rsidRDefault="00142DA9" w:rsidP="00142DA9">
      <w:pPr>
        <w:jc w:val="both"/>
        <w:rPr>
          <w:rFonts w:asciiTheme="minorHAnsi" w:hAnsiTheme="minorHAnsi" w:cstheme="minorHAnsi"/>
          <w:lang w:val="en-GB"/>
        </w:rPr>
      </w:pPr>
    </w:p>
    <w:p w:rsidR="00142DA9" w:rsidRPr="00142DA9" w:rsidRDefault="00142DA9" w:rsidP="00142DA9">
      <w:pPr>
        <w:jc w:val="both"/>
        <w:rPr>
          <w:rFonts w:asciiTheme="minorHAnsi" w:hAnsiTheme="minorHAnsi" w:cstheme="minorHAnsi"/>
          <w:b/>
          <w:u w:val="single"/>
          <w:lang w:val="en-GB"/>
        </w:rPr>
      </w:pPr>
      <w:r w:rsidRPr="00142DA9">
        <w:rPr>
          <w:rFonts w:asciiTheme="minorHAnsi" w:hAnsiTheme="minorHAnsi" w:cstheme="minorHAnsi"/>
          <w:b/>
          <w:u w:val="single"/>
          <w:lang w:val="en-GB"/>
        </w:rPr>
        <w:lastRenderedPageBreak/>
        <w:t>Lessons to take away from this judgment</w:t>
      </w:r>
    </w:p>
    <w:p w:rsidR="00142DA9" w:rsidRPr="00142DA9" w:rsidRDefault="00142DA9" w:rsidP="00142DA9">
      <w:pPr>
        <w:jc w:val="both"/>
        <w:rPr>
          <w:rFonts w:asciiTheme="minorHAnsi" w:hAnsiTheme="minorHAnsi" w:cstheme="minorHAnsi"/>
          <w:b/>
          <w:u w:val="single"/>
          <w:lang w:val="en-GB"/>
        </w:rPr>
      </w:pPr>
    </w:p>
    <w:p w:rsidR="00142DA9" w:rsidRPr="00142DA9" w:rsidRDefault="00142DA9" w:rsidP="00142DA9">
      <w:pPr>
        <w:jc w:val="both"/>
        <w:rPr>
          <w:rFonts w:asciiTheme="minorHAnsi" w:hAnsiTheme="minorHAnsi" w:cstheme="minorHAnsi"/>
          <w:lang w:val="en-GB"/>
        </w:rPr>
      </w:pPr>
      <w:r w:rsidRPr="00142DA9">
        <w:rPr>
          <w:rFonts w:asciiTheme="minorHAnsi" w:hAnsiTheme="minorHAnsi" w:cstheme="minorHAnsi"/>
          <w:lang w:val="en-GB"/>
        </w:rPr>
        <w:t>The judgment is an important reminder of the need for companies and their legal advisers to be cautious before engaging insolvency processes in relation to complex commercial disputes.   It is always necessary first to address and examine the fundamentals:</w:t>
      </w:r>
    </w:p>
    <w:p w:rsidR="00142DA9" w:rsidRPr="00142DA9" w:rsidRDefault="00142DA9" w:rsidP="00142DA9">
      <w:pPr>
        <w:jc w:val="both"/>
        <w:rPr>
          <w:rFonts w:asciiTheme="minorHAnsi" w:hAnsiTheme="minorHAnsi" w:cstheme="minorHAnsi"/>
          <w:lang w:val="en-GB"/>
        </w:rPr>
      </w:pPr>
    </w:p>
    <w:p w:rsidR="00142DA9" w:rsidRPr="00142DA9" w:rsidRDefault="00142DA9" w:rsidP="00142DA9">
      <w:pPr>
        <w:pStyle w:val="ListParagraph"/>
        <w:numPr>
          <w:ilvl w:val="0"/>
          <w:numId w:val="34"/>
        </w:numPr>
        <w:jc w:val="both"/>
        <w:rPr>
          <w:rFonts w:asciiTheme="minorHAnsi" w:hAnsiTheme="minorHAnsi" w:cstheme="minorHAnsi"/>
          <w:lang w:val="en-GB"/>
        </w:rPr>
      </w:pPr>
      <w:r w:rsidRPr="00142DA9">
        <w:rPr>
          <w:rFonts w:asciiTheme="minorHAnsi" w:hAnsiTheme="minorHAnsi" w:cstheme="minorHAnsi"/>
          <w:lang w:val="en-GB"/>
        </w:rPr>
        <w:t>Is the liability in question a “debt”?  If it is not a debt, a statutory demand and winding up petition under section 92(d) are inappropriate and the client should examine other means of proceeding, including proceeding by way of Writ.</w:t>
      </w:r>
    </w:p>
    <w:p w:rsidR="00142DA9" w:rsidRPr="00142DA9" w:rsidRDefault="00142DA9" w:rsidP="00142DA9">
      <w:pPr>
        <w:pStyle w:val="ListParagraph"/>
        <w:ind w:left="1080"/>
        <w:jc w:val="both"/>
        <w:rPr>
          <w:rFonts w:asciiTheme="minorHAnsi" w:hAnsiTheme="minorHAnsi" w:cstheme="minorHAnsi"/>
          <w:lang w:val="en-GB"/>
        </w:rPr>
      </w:pPr>
    </w:p>
    <w:p w:rsidR="00142DA9" w:rsidRPr="00142DA9" w:rsidRDefault="00142DA9" w:rsidP="00142DA9">
      <w:pPr>
        <w:pStyle w:val="ListParagraph"/>
        <w:numPr>
          <w:ilvl w:val="0"/>
          <w:numId w:val="34"/>
        </w:numPr>
        <w:jc w:val="both"/>
        <w:rPr>
          <w:rFonts w:asciiTheme="minorHAnsi" w:hAnsiTheme="minorHAnsi" w:cstheme="minorHAnsi"/>
          <w:lang w:val="en-GB"/>
        </w:rPr>
      </w:pPr>
      <w:r w:rsidRPr="00142DA9">
        <w:rPr>
          <w:rFonts w:asciiTheme="minorHAnsi" w:hAnsiTheme="minorHAnsi" w:cstheme="minorHAnsi"/>
          <w:lang w:val="en-GB"/>
        </w:rPr>
        <w:t>Can admissible evidence in the form of an affidavit from someone who has been concerned in and had personal knowledge giving rise to the petition be obtained?  If not, then a statutory demand and winding up petition under section 92(d) are likely to be inappropriate and the client should examine other means of</w:t>
      </w:r>
      <w:r w:rsidR="008A331D">
        <w:rPr>
          <w:rFonts w:asciiTheme="minorHAnsi" w:hAnsiTheme="minorHAnsi" w:cstheme="minorHAnsi"/>
          <w:lang w:val="en-GB"/>
        </w:rPr>
        <w:t xml:space="preserve"> proceeding.</w:t>
      </w:r>
    </w:p>
    <w:p w:rsidR="00142DA9" w:rsidRPr="00142DA9" w:rsidRDefault="00142DA9" w:rsidP="00142DA9">
      <w:pPr>
        <w:jc w:val="both"/>
        <w:rPr>
          <w:rFonts w:asciiTheme="minorHAnsi" w:hAnsiTheme="minorHAnsi" w:cstheme="minorHAnsi"/>
          <w:lang w:val="en-GB"/>
        </w:rPr>
      </w:pPr>
    </w:p>
    <w:p w:rsidR="00142DA9" w:rsidRPr="00142DA9" w:rsidRDefault="00142DA9" w:rsidP="00142DA9">
      <w:pPr>
        <w:pStyle w:val="ListParagraph"/>
        <w:numPr>
          <w:ilvl w:val="0"/>
          <w:numId w:val="34"/>
        </w:numPr>
        <w:jc w:val="both"/>
        <w:rPr>
          <w:rFonts w:asciiTheme="minorHAnsi" w:hAnsiTheme="minorHAnsi" w:cstheme="minorHAnsi"/>
          <w:lang w:val="en-GB"/>
        </w:rPr>
      </w:pPr>
      <w:r w:rsidRPr="00142DA9">
        <w:rPr>
          <w:rFonts w:asciiTheme="minorHAnsi" w:hAnsiTheme="minorHAnsi" w:cstheme="minorHAnsi"/>
          <w:lang w:val="en-GB"/>
        </w:rPr>
        <w:t xml:space="preserve">Are there contractual clauses giving courts in another forum jurisdiction to determine disputes between the parties?  If so, the client should first examine whether or not the Court is likely to uphold and enforce such agreements before commencing legal processes before a non-contractual forum.  </w:t>
      </w:r>
    </w:p>
    <w:p w:rsidR="00142DA9" w:rsidRPr="00142DA9" w:rsidRDefault="00142DA9" w:rsidP="00142DA9">
      <w:pPr>
        <w:jc w:val="both"/>
        <w:rPr>
          <w:rFonts w:asciiTheme="minorHAnsi" w:hAnsiTheme="minorHAnsi" w:cstheme="minorHAnsi"/>
          <w:lang w:val="en-GB"/>
        </w:rPr>
      </w:pPr>
    </w:p>
    <w:p w:rsidR="005D1FE2" w:rsidRPr="00F47D16" w:rsidRDefault="005D1FE2" w:rsidP="00142DA9">
      <w:pPr>
        <w:autoSpaceDE w:val="0"/>
        <w:autoSpaceDN w:val="0"/>
        <w:adjustRightInd w:val="0"/>
        <w:jc w:val="both"/>
        <w:rPr>
          <w:rFonts w:ascii="Arial" w:hAnsi="Arial" w:cs="Arial"/>
          <w:b/>
          <w:sz w:val="16"/>
          <w:szCs w:val="16"/>
          <w:u w:val="single"/>
        </w:rPr>
      </w:pPr>
      <w:r w:rsidRPr="00F47D16">
        <w:rPr>
          <w:rFonts w:ascii="Arial" w:hAnsi="Arial" w:cs="Arial"/>
          <w:b/>
          <w:sz w:val="22"/>
          <w:szCs w:val="22"/>
          <w:u w:val="single"/>
        </w:rPr>
        <w:t>_______________________________________________________________________</w:t>
      </w:r>
      <w:r w:rsidRPr="00F47D16">
        <w:rPr>
          <w:rFonts w:ascii="Arial" w:hAnsi="Arial" w:cs="Arial"/>
          <w:b/>
          <w:sz w:val="16"/>
          <w:szCs w:val="16"/>
          <w:u w:val="single"/>
        </w:rPr>
        <w:t>_______</w:t>
      </w:r>
    </w:p>
    <w:p w:rsidR="00F47D16" w:rsidRPr="00960449" w:rsidRDefault="00F47D16" w:rsidP="00142DA9">
      <w:pPr>
        <w:autoSpaceDE w:val="0"/>
        <w:autoSpaceDN w:val="0"/>
        <w:adjustRightInd w:val="0"/>
        <w:jc w:val="both"/>
        <w:rPr>
          <w:rFonts w:ascii="Arial" w:hAnsi="Arial" w:cs="Arial"/>
          <w:b/>
          <w:i/>
          <w:sz w:val="16"/>
          <w:szCs w:val="16"/>
          <w:lang w:val="en-GB"/>
        </w:rPr>
      </w:pPr>
    </w:p>
    <w:p w:rsidR="005D1FE2" w:rsidRPr="00960449" w:rsidRDefault="008D2228" w:rsidP="00142DA9">
      <w:pPr>
        <w:autoSpaceDE w:val="0"/>
        <w:autoSpaceDN w:val="0"/>
        <w:adjustRightInd w:val="0"/>
        <w:jc w:val="both"/>
        <w:rPr>
          <w:rFonts w:ascii="Arial" w:hAnsi="Arial" w:cs="Arial"/>
          <w:b/>
          <w:sz w:val="16"/>
          <w:szCs w:val="16"/>
          <w:lang w:val="en-GB"/>
        </w:rPr>
      </w:pPr>
      <w:r w:rsidRPr="00960449">
        <w:rPr>
          <w:rFonts w:ascii="Arial" w:hAnsi="Arial" w:cs="Arial"/>
          <w:b/>
          <w:i/>
          <w:sz w:val="16"/>
          <w:szCs w:val="16"/>
          <w:lang w:val="en-GB"/>
        </w:rPr>
        <w:t>This client m</w:t>
      </w:r>
      <w:r w:rsidR="005D1FE2" w:rsidRPr="00960449">
        <w:rPr>
          <w:rFonts w:ascii="Arial" w:hAnsi="Arial" w:cs="Arial"/>
          <w:b/>
          <w:i/>
          <w:sz w:val="16"/>
          <w:szCs w:val="16"/>
          <w:lang w:val="en-GB"/>
        </w:rPr>
        <w:t>emorandum is intended to provide only general information for the clients and professional contacts of Travers Thorp Alberga.  It does not purport to be comprehensive or to render legal advice.  Please do not hesitate to contact Travers Thorp Alberga</w:t>
      </w:r>
      <w:r w:rsidR="006A4A89" w:rsidRPr="00960449">
        <w:rPr>
          <w:rFonts w:ascii="Arial" w:hAnsi="Arial" w:cs="Arial"/>
          <w:b/>
          <w:i/>
          <w:sz w:val="16"/>
          <w:szCs w:val="16"/>
          <w:lang w:val="en-GB"/>
        </w:rPr>
        <w:t xml:space="preserve"> (</w:t>
      </w:r>
      <w:hyperlink r:id="rId9" w:history="1">
        <w:r w:rsidR="006A4A89" w:rsidRPr="00960449">
          <w:rPr>
            <w:rStyle w:val="Hyperlink"/>
            <w:rFonts w:ascii="Arial" w:hAnsi="Arial" w:cs="Arial"/>
            <w:b/>
            <w:i/>
            <w:sz w:val="16"/>
            <w:szCs w:val="16"/>
            <w:lang w:val="en-GB"/>
          </w:rPr>
          <w:t>nmclarnon@traversthorpalberga.com</w:t>
        </w:r>
      </w:hyperlink>
      <w:r w:rsidR="006A4A89" w:rsidRPr="00960449">
        <w:rPr>
          <w:rFonts w:ascii="Arial" w:hAnsi="Arial" w:cs="Arial"/>
          <w:b/>
          <w:i/>
          <w:sz w:val="16"/>
          <w:szCs w:val="16"/>
          <w:lang w:val="en-GB"/>
        </w:rPr>
        <w:t xml:space="preserve">) </w:t>
      </w:r>
      <w:r w:rsidR="005D1FE2" w:rsidRPr="00960449">
        <w:rPr>
          <w:rFonts w:ascii="Arial" w:hAnsi="Arial" w:cs="Arial"/>
          <w:b/>
          <w:i/>
          <w:sz w:val="16"/>
          <w:szCs w:val="16"/>
          <w:lang w:val="en-GB"/>
        </w:rPr>
        <w:t xml:space="preserve">at any time if you have any specific questions or would like more detail on any of the points made in this memorandum.  </w:t>
      </w:r>
    </w:p>
    <w:sectPr w:rsidR="005D1FE2" w:rsidRPr="00960449" w:rsidSect="002109F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168" w:rsidRDefault="00732168" w:rsidP="00036F55">
      <w:r>
        <w:separator/>
      </w:r>
    </w:p>
  </w:endnote>
  <w:endnote w:type="continuationSeparator" w:id="0">
    <w:p w:rsidR="00732168" w:rsidRDefault="00732168" w:rsidP="0003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FE2" w:rsidRDefault="002733EA">
    <w:pPr>
      <w:pStyle w:val="Footer"/>
      <w:jc w:val="center"/>
    </w:pPr>
    <w:r>
      <w:rPr>
        <w:noProof/>
      </w:rPr>
      <w:fldChar w:fldCharType="begin"/>
    </w:r>
    <w:r>
      <w:rPr>
        <w:noProof/>
      </w:rPr>
      <w:instrText xml:space="preserve"> PAGE   \* MERGEFORMAT </w:instrText>
    </w:r>
    <w:r>
      <w:rPr>
        <w:noProof/>
      </w:rPr>
      <w:fldChar w:fldCharType="separate"/>
    </w:r>
    <w:r w:rsidR="00AF782F">
      <w:rPr>
        <w:noProof/>
      </w:rPr>
      <w:t>2</w:t>
    </w:r>
    <w:r>
      <w:rPr>
        <w:noProof/>
      </w:rPr>
      <w:fldChar w:fldCharType="end"/>
    </w:r>
  </w:p>
  <w:p w:rsidR="005D1FE2" w:rsidRDefault="005D1F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168" w:rsidRDefault="00732168" w:rsidP="00036F55">
      <w:r>
        <w:separator/>
      </w:r>
    </w:p>
  </w:footnote>
  <w:footnote w:type="continuationSeparator" w:id="0">
    <w:p w:rsidR="00732168" w:rsidRDefault="00732168" w:rsidP="00036F55">
      <w:r>
        <w:continuationSeparator/>
      </w:r>
    </w:p>
  </w:footnote>
  <w:footnote w:id="1">
    <w:p w:rsidR="008B5BF1" w:rsidRPr="008B5BF1" w:rsidRDefault="008B5BF1" w:rsidP="008B5BF1">
      <w:pPr>
        <w:jc w:val="both"/>
        <w:rPr>
          <w:sz w:val="16"/>
          <w:szCs w:val="16"/>
        </w:rPr>
      </w:pPr>
      <w:r>
        <w:rPr>
          <w:rStyle w:val="FootnoteReference"/>
        </w:rPr>
        <w:footnoteRef/>
      </w:r>
      <w:r>
        <w:t xml:space="preserve"> </w:t>
      </w:r>
      <w:r w:rsidRPr="008B5BF1">
        <w:rPr>
          <w:rFonts w:asciiTheme="minorHAnsi" w:hAnsiTheme="minorHAnsi" w:cstheme="minorHAnsi"/>
          <w:sz w:val="16"/>
          <w:szCs w:val="16"/>
          <w:lang w:val="en-GB"/>
        </w:rPr>
        <w:t xml:space="preserve">Neil McLarnon </w:t>
      </w:r>
      <w:r>
        <w:rPr>
          <w:rFonts w:asciiTheme="minorHAnsi" w:hAnsiTheme="minorHAnsi" w:cstheme="minorHAnsi"/>
          <w:sz w:val="16"/>
          <w:szCs w:val="16"/>
          <w:lang w:val="en-GB"/>
        </w:rPr>
        <w:t xml:space="preserve">of Travers Thorp Alberga </w:t>
      </w:r>
      <w:r w:rsidRPr="008B5BF1">
        <w:rPr>
          <w:rFonts w:asciiTheme="minorHAnsi" w:hAnsiTheme="minorHAnsi" w:cstheme="minorHAnsi"/>
          <w:sz w:val="16"/>
          <w:szCs w:val="16"/>
          <w:lang w:val="en-GB"/>
        </w:rPr>
        <w:t xml:space="preserve">appeared before the Financial Services Division of the Grand Court.  Neil practises insolvency law before the courts of the Cayman Islands and the British Virgin Islands and recently appeared in </w:t>
      </w:r>
      <w:r w:rsidRPr="008B5BF1">
        <w:rPr>
          <w:rFonts w:asciiTheme="minorHAnsi" w:hAnsiTheme="minorHAnsi" w:cstheme="minorHAnsi"/>
          <w:i/>
          <w:sz w:val="16"/>
          <w:szCs w:val="16"/>
          <w:lang w:val="en-GB"/>
        </w:rPr>
        <w:t xml:space="preserve">IS Investment Fund Segregated Portfolio Company v Fair Cheerful Ltd </w:t>
      </w:r>
      <w:r w:rsidRPr="008B5BF1">
        <w:rPr>
          <w:rFonts w:asciiTheme="minorHAnsi" w:hAnsiTheme="minorHAnsi" w:cstheme="minorHAnsi"/>
          <w:sz w:val="16"/>
          <w:szCs w:val="16"/>
          <w:lang w:val="en-GB"/>
        </w:rPr>
        <w:t xml:space="preserve">BVIHC (COM) 2020/0034, </w:t>
      </w:r>
      <w:hyperlink r:id="rId1" w:history="1">
        <w:r w:rsidRPr="008B5BF1">
          <w:rPr>
            <w:rStyle w:val="Hyperlink"/>
            <w:rFonts w:asciiTheme="minorHAnsi" w:hAnsiTheme="minorHAnsi" w:cstheme="minorHAnsi"/>
            <w:sz w:val="16"/>
            <w:szCs w:val="16"/>
            <w:lang w:val="en-GB"/>
          </w:rPr>
          <w:t>https://www.eccourts.org/is-investment-fund-segregated-portfolio-company-v-fair-cheerful-ltd/</w:t>
        </w:r>
      </w:hyperlink>
      <w:r w:rsidRPr="008B5BF1">
        <w:rPr>
          <w:rFonts w:asciiTheme="minorHAnsi" w:hAnsiTheme="minorHAnsi" w:cstheme="minorHAnsi"/>
          <w:sz w:val="16"/>
          <w:szCs w:val="16"/>
          <w:lang w:val="en-GB"/>
        </w:rPr>
        <w:t>,  another insolvency case</w:t>
      </w:r>
      <w:r w:rsidR="00AF782F">
        <w:rPr>
          <w:rFonts w:asciiTheme="minorHAnsi" w:hAnsiTheme="minorHAnsi" w:cstheme="minorHAnsi"/>
          <w:sz w:val="16"/>
          <w:szCs w:val="16"/>
          <w:lang w:val="en-GB"/>
        </w:rPr>
        <w:t xml:space="preserve"> in which Travers Thorp Alberga successfully </w:t>
      </w:r>
      <w:bookmarkStart w:id="0" w:name="_GoBack"/>
      <w:bookmarkEnd w:id="0"/>
      <w:r w:rsidR="00AF782F">
        <w:rPr>
          <w:rFonts w:asciiTheme="minorHAnsi" w:hAnsiTheme="minorHAnsi" w:cstheme="minorHAnsi"/>
          <w:sz w:val="16"/>
          <w:szCs w:val="16"/>
          <w:lang w:val="en-GB"/>
        </w:rPr>
        <w:t>represented the respondent to winding up proceedings and</w:t>
      </w:r>
      <w:r w:rsidRPr="008B5BF1">
        <w:rPr>
          <w:rFonts w:asciiTheme="minorHAnsi" w:hAnsiTheme="minorHAnsi" w:cstheme="minorHAnsi"/>
          <w:sz w:val="16"/>
          <w:szCs w:val="16"/>
          <w:lang w:val="en-GB"/>
        </w:rPr>
        <w:t xml:space="preserve"> which helped change legal practice in the British Virgin Islands to require the service of statutory demands before commencing winding up proceedings.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F6AB9"/>
    <w:multiLevelType w:val="hybridMultilevel"/>
    <w:tmpl w:val="1862AD0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8CC309A"/>
    <w:multiLevelType w:val="hybridMultilevel"/>
    <w:tmpl w:val="EC38D2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330145"/>
    <w:multiLevelType w:val="hybridMultilevel"/>
    <w:tmpl w:val="6B78537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B3A646C"/>
    <w:multiLevelType w:val="hybridMultilevel"/>
    <w:tmpl w:val="82EADB86"/>
    <w:lvl w:ilvl="0" w:tplc="FA66C0A8">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BEA3544"/>
    <w:multiLevelType w:val="hybridMultilevel"/>
    <w:tmpl w:val="B6428566"/>
    <w:lvl w:ilvl="0" w:tplc="5CF2240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3D5384"/>
    <w:multiLevelType w:val="hybridMultilevel"/>
    <w:tmpl w:val="55202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74E1A"/>
    <w:multiLevelType w:val="hybridMultilevel"/>
    <w:tmpl w:val="A9AE0A2A"/>
    <w:lvl w:ilvl="0" w:tplc="3DB49B18">
      <w:start w:val="1"/>
      <w:numFmt w:val="lowerLetter"/>
      <w:lvlText w:val="%1)"/>
      <w:lvlJc w:val="left"/>
      <w:pPr>
        <w:ind w:left="1080" w:hanging="360"/>
      </w:pPr>
      <w:rPr>
        <w:rFonts w:ascii="Trebuchet MS" w:eastAsia="Times New Roman" w:hAnsi="Trebuchet MS" w:cs="Times New Roman"/>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185E065D"/>
    <w:multiLevelType w:val="hybridMultilevel"/>
    <w:tmpl w:val="BEF8CD36"/>
    <w:lvl w:ilvl="0" w:tplc="3D868856">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45D89"/>
    <w:multiLevelType w:val="hybridMultilevel"/>
    <w:tmpl w:val="60A40E36"/>
    <w:lvl w:ilvl="0" w:tplc="5418797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FA1164"/>
    <w:multiLevelType w:val="hybridMultilevel"/>
    <w:tmpl w:val="FAC2904C"/>
    <w:lvl w:ilvl="0" w:tplc="4094E09A">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4016CC2"/>
    <w:multiLevelType w:val="hybridMultilevel"/>
    <w:tmpl w:val="B5F4FBE6"/>
    <w:lvl w:ilvl="0" w:tplc="ACEEB6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05321"/>
    <w:multiLevelType w:val="hybridMultilevel"/>
    <w:tmpl w:val="71B832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7105DAD"/>
    <w:multiLevelType w:val="hybridMultilevel"/>
    <w:tmpl w:val="E146D3B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C92174A"/>
    <w:multiLevelType w:val="hybridMultilevel"/>
    <w:tmpl w:val="783C0F84"/>
    <w:lvl w:ilvl="0" w:tplc="A9A6F62A">
      <w:start w:val="1"/>
      <w:numFmt w:val="lowerRoman"/>
      <w:lvlText w:val="(%1)"/>
      <w:lvlJc w:val="left"/>
      <w:pPr>
        <w:ind w:left="1440" w:hanging="720"/>
      </w:pPr>
      <w:rPr>
        <w:rFonts w:ascii="Arial" w:hAnsi="Arial" w:cs="Arial" w:hint="default"/>
        <w:w w:val="99"/>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2D235C0D"/>
    <w:multiLevelType w:val="singleLevel"/>
    <w:tmpl w:val="6EC6284C"/>
    <w:lvl w:ilvl="0">
      <w:start w:val="1"/>
      <w:numFmt w:val="lowerRoman"/>
      <w:lvlText w:val="(%1)"/>
      <w:lvlJc w:val="left"/>
      <w:pPr>
        <w:tabs>
          <w:tab w:val="num" w:pos="1620"/>
        </w:tabs>
        <w:ind w:left="1620" w:hanging="720"/>
      </w:pPr>
      <w:rPr>
        <w:rFonts w:cs="Times New Roman" w:hint="default"/>
      </w:rPr>
    </w:lvl>
  </w:abstractNum>
  <w:abstractNum w:abstractNumId="15" w15:restartNumberingAfterBreak="0">
    <w:nsid w:val="3A3A7923"/>
    <w:multiLevelType w:val="hybridMultilevel"/>
    <w:tmpl w:val="E9B67A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C9429A0"/>
    <w:multiLevelType w:val="hybridMultilevel"/>
    <w:tmpl w:val="27A69464"/>
    <w:lvl w:ilvl="0" w:tplc="3D86885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3C93F75"/>
    <w:multiLevelType w:val="hybridMultilevel"/>
    <w:tmpl w:val="4A6682E8"/>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9B41A0"/>
    <w:multiLevelType w:val="hybridMultilevel"/>
    <w:tmpl w:val="2F5084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87862C1"/>
    <w:multiLevelType w:val="hybridMultilevel"/>
    <w:tmpl w:val="8E12BCA4"/>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148074B"/>
    <w:multiLevelType w:val="hybridMultilevel"/>
    <w:tmpl w:val="D0EA2BD4"/>
    <w:lvl w:ilvl="0" w:tplc="0409000F">
      <w:start w:val="1"/>
      <w:numFmt w:val="decimal"/>
      <w:lvlText w:val="%1."/>
      <w:lvlJc w:val="lef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21" w15:restartNumberingAfterBreak="0">
    <w:nsid w:val="53B51EC5"/>
    <w:multiLevelType w:val="hybridMultilevel"/>
    <w:tmpl w:val="55EC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C7414B"/>
    <w:multiLevelType w:val="hybridMultilevel"/>
    <w:tmpl w:val="BAC6AD14"/>
    <w:lvl w:ilvl="0" w:tplc="C73603A2">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62871DA"/>
    <w:multiLevelType w:val="hybridMultilevel"/>
    <w:tmpl w:val="31AE65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6A36BC"/>
    <w:multiLevelType w:val="hybridMultilevel"/>
    <w:tmpl w:val="3214B3A0"/>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58447074"/>
    <w:multiLevelType w:val="hybridMultilevel"/>
    <w:tmpl w:val="0EC88C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696E60"/>
    <w:multiLevelType w:val="multilevel"/>
    <w:tmpl w:val="E40C4F68"/>
    <w:lvl w:ilvl="0">
      <w:start w:val="1"/>
      <w:numFmt w:val="decimal"/>
      <w:lvlText w:val="%1"/>
      <w:lvlJc w:val="left"/>
      <w:pPr>
        <w:tabs>
          <w:tab w:val="num" w:pos="720"/>
        </w:tabs>
        <w:ind w:left="720" w:hanging="720"/>
      </w:pPr>
      <w:rPr>
        <w:rFonts w:ascii="Arial" w:hAnsi="Arial" w:cs="Times New Roman" w:hint="default"/>
        <w:b/>
        <w:i w:val="0"/>
        <w:sz w:val="24"/>
      </w:rPr>
    </w:lvl>
    <w:lvl w:ilvl="1">
      <w:start w:val="1"/>
      <w:numFmt w:val="decimal"/>
      <w:lvlText w:val="%1.%2"/>
      <w:lvlJc w:val="left"/>
      <w:pPr>
        <w:tabs>
          <w:tab w:val="num" w:pos="720"/>
        </w:tabs>
        <w:ind w:left="720" w:hanging="720"/>
      </w:pPr>
      <w:rPr>
        <w:rFonts w:ascii="Arial" w:hAnsi="Arial" w:cs="Times New Roman" w:hint="default"/>
        <w:b w:val="0"/>
        <w:i w:val="0"/>
        <w:sz w:val="22"/>
      </w:rPr>
    </w:lvl>
    <w:lvl w:ilvl="2">
      <w:start w:val="1"/>
      <w:numFmt w:val="lowerLetter"/>
      <w:lvlText w:val="(%3)"/>
      <w:lvlJc w:val="left"/>
      <w:pPr>
        <w:tabs>
          <w:tab w:val="num" w:pos="1440"/>
        </w:tabs>
        <w:ind w:left="1440" w:hanging="720"/>
      </w:pPr>
      <w:rPr>
        <w:rFonts w:ascii="Arial" w:hAnsi="Arial" w:cs="Times New Roman" w:hint="default"/>
        <w:b w:val="0"/>
        <w:i w:val="0"/>
        <w:sz w:val="20"/>
        <w:szCs w:val="20"/>
      </w:rPr>
    </w:lvl>
    <w:lvl w:ilvl="3">
      <w:start w:val="1"/>
      <w:numFmt w:val="lowerRoman"/>
      <w:lvlText w:val="(%4)"/>
      <w:lvlJc w:val="left"/>
      <w:pPr>
        <w:tabs>
          <w:tab w:val="num" w:pos="2160"/>
        </w:tabs>
        <w:ind w:left="2160" w:hanging="720"/>
      </w:pPr>
      <w:rPr>
        <w:rFonts w:ascii="Arial" w:hAnsi="Arial" w:cs="Times New Roman" w:hint="default"/>
        <w:b w:val="0"/>
        <w:i w:val="0"/>
        <w:sz w:val="22"/>
      </w:rPr>
    </w:lvl>
    <w:lvl w:ilvl="4">
      <w:start w:val="1"/>
      <w:numFmt w:val="upperLetter"/>
      <w:lvlText w:val="(%5)"/>
      <w:lvlJc w:val="left"/>
      <w:pPr>
        <w:tabs>
          <w:tab w:val="num" w:pos="2880"/>
        </w:tabs>
        <w:ind w:left="2880" w:hanging="720"/>
      </w:pPr>
      <w:rPr>
        <w:rFonts w:ascii="Arial" w:hAnsi="Arial" w:cs="Times New Roman" w:hint="default"/>
        <w:b w:val="0"/>
        <w:i w:val="0"/>
        <w:sz w:val="22"/>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611E7C1A"/>
    <w:multiLevelType w:val="hybridMultilevel"/>
    <w:tmpl w:val="79F4E4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5A3589A"/>
    <w:multiLevelType w:val="hybridMultilevel"/>
    <w:tmpl w:val="D0723520"/>
    <w:lvl w:ilvl="0" w:tplc="E6D8999E">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8AF5E20"/>
    <w:multiLevelType w:val="hybridMultilevel"/>
    <w:tmpl w:val="76A87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938592F"/>
    <w:multiLevelType w:val="hybridMultilevel"/>
    <w:tmpl w:val="102CDA4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2697CCF"/>
    <w:multiLevelType w:val="hybridMultilevel"/>
    <w:tmpl w:val="CB446B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205141"/>
    <w:multiLevelType w:val="hybridMultilevel"/>
    <w:tmpl w:val="92E4B358"/>
    <w:lvl w:ilvl="0" w:tplc="8B4A39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016955"/>
    <w:multiLevelType w:val="hybridMultilevel"/>
    <w:tmpl w:val="C942994C"/>
    <w:lvl w:ilvl="0" w:tplc="3D86885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9"/>
  </w:num>
  <w:num w:numId="3">
    <w:abstractNumId w:val="3"/>
  </w:num>
  <w:num w:numId="4">
    <w:abstractNumId w:val="17"/>
  </w:num>
  <w:num w:numId="5">
    <w:abstractNumId w:val="14"/>
  </w:num>
  <w:num w:numId="6">
    <w:abstractNumId w:val="26"/>
  </w:num>
  <w:num w:numId="7">
    <w:abstractNumId w:val="27"/>
  </w:num>
  <w:num w:numId="8">
    <w:abstractNumId w:val="29"/>
  </w:num>
  <w:num w:numId="9">
    <w:abstractNumId w:val="30"/>
  </w:num>
  <w:num w:numId="10">
    <w:abstractNumId w:val="6"/>
  </w:num>
  <w:num w:numId="11">
    <w:abstractNumId w:val="1"/>
  </w:num>
  <w:num w:numId="12">
    <w:abstractNumId w:val="0"/>
  </w:num>
  <w:num w:numId="13">
    <w:abstractNumId w:val="11"/>
  </w:num>
  <w:num w:numId="14">
    <w:abstractNumId w:val="20"/>
  </w:num>
  <w:num w:numId="15">
    <w:abstractNumId w:val="25"/>
  </w:num>
  <w:num w:numId="16">
    <w:abstractNumId w:val="24"/>
  </w:num>
  <w:num w:numId="17">
    <w:abstractNumId w:val="2"/>
  </w:num>
  <w:num w:numId="18">
    <w:abstractNumId w:val="18"/>
  </w:num>
  <w:num w:numId="19">
    <w:abstractNumId w:val="13"/>
  </w:num>
  <w:num w:numId="20">
    <w:abstractNumId w:val="33"/>
  </w:num>
  <w:num w:numId="21">
    <w:abstractNumId w:val="28"/>
  </w:num>
  <w:num w:numId="22">
    <w:abstractNumId w:val="5"/>
  </w:num>
  <w:num w:numId="23">
    <w:abstractNumId w:val="4"/>
  </w:num>
  <w:num w:numId="24">
    <w:abstractNumId w:val="31"/>
  </w:num>
  <w:num w:numId="25">
    <w:abstractNumId w:val="22"/>
  </w:num>
  <w:num w:numId="26">
    <w:abstractNumId w:val="32"/>
  </w:num>
  <w:num w:numId="27">
    <w:abstractNumId w:val="8"/>
  </w:num>
  <w:num w:numId="28">
    <w:abstractNumId w:val="7"/>
  </w:num>
  <w:num w:numId="29">
    <w:abstractNumId w:val="15"/>
  </w:num>
  <w:num w:numId="30">
    <w:abstractNumId w:val="16"/>
  </w:num>
  <w:num w:numId="31">
    <w:abstractNumId w:val="21"/>
  </w:num>
  <w:num w:numId="32">
    <w:abstractNumId w:val="12"/>
  </w:num>
  <w:num w:numId="33">
    <w:abstractNumId w:val="19"/>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557"/>
    <w:rsid w:val="0000458A"/>
    <w:rsid w:val="00004CAC"/>
    <w:rsid w:val="00005D10"/>
    <w:rsid w:val="000061D0"/>
    <w:rsid w:val="00007BC0"/>
    <w:rsid w:val="0001516C"/>
    <w:rsid w:val="00017011"/>
    <w:rsid w:val="00020C57"/>
    <w:rsid w:val="00024F43"/>
    <w:rsid w:val="00025754"/>
    <w:rsid w:val="00026AE3"/>
    <w:rsid w:val="00027C25"/>
    <w:rsid w:val="00030557"/>
    <w:rsid w:val="0003459F"/>
    <w:rsid w:val="00036F55"/>
    <w:rsid w:val="00041AD7"/>
    <w:rsid w:val="0004796B"/>
    <w:rsid w:val="00052142"/>
    <w:rsid w:val="00053856"/>
    <w:rsid w:val="000564DE"/>
    <w:rsid w:val="000574F1"/>
    <w:rsid w:val="00057A8F"/>
    <w:rsid w:val="000601C3"/>
    <w:rsid w:val="00062394"/>
    <w:rsid w:val="00062893"/>
    <w:rsid w:val="00066970"/>
    <w:rsid w:val="00066C7F"/>
    <w:rsid w:val="0007019F"/>
    <w:rsid w:val="000741C4"/>
    <w:rsid w:val="00074C6D"/>
    <w:rsid w:val="00075C66"/>
    <w:rsid w:val="00076DB2"/>
    <w:rsid w:val="00077256"/>
    <w:rsid w:val="00082896"/>
    <w:rsid w:val="00083B05"/>
    <w:rsid w:val="00092F00"/>
    <w:rsid w:val="00094762"/>
    <w:rsid w:val="00097E93"/>
    <w:rsid w:val="000A0FE9"/>
    <w:rsid w:val="000A23F4"/>
    <w:rsid w:val="000A3F79"/>
    <w:rsid w:val="000A7104"/>
    <w:rsid w:val="000B182C"/>
    <w:rsid w:val="000B42DD"/>
    <w:rsid w:val="000B56EC"/>
    <w:rsid w:val="000B6354"/>
    <w:rsid w:val="000C2C66"/>
    <w:rsid w:val="000D0A74"/>
    <w:rsid w:val="000D2913"/>
    <w:rsid w:val="000D29BC"/>
    <w:rsid w:val="000D7DFE"/>
    <w:rsid w:val="000E12C5"/>
    <w:rsid w:val="000E55A7"/>
    <w:rsid w:val="000E5FBC"/>
    <w:rsid w:val="000F45DC"/>
    <w:rsid w:val="000F4E60"/>
    <w:rsid w:val="001012F3"/>
    <w:rsid w:val="00105526"/>
    <w:rsid w:val="0011486E"/>
    <w:rsid w:val="001159EE"/>
    <w:rsid w:val="0012232E"/>
    <w:rsid w:val="00122C82"/>
    <w:rsid w:val="00126D38"/>
    <w:rsid w:val="00127DE4"/>
    <w:rsid w:val="00132415"/>
    <w:rsid w:val="00134110"/>
    <w:rsid w:val="00136872"/>
    <w:rsid w:val="0014021F"/>
    <w:rsid w:val="00142DA9"/>
    <w:rsid w:val="00144CFC"/>
    <w:rsid w:val="00151D1F"/>
    <w:rsid w:val="00153169"/>
    <w:rsid w:val="00153ECE"/>
    <w:rsid w:val="001549B1"/>
    <w:rsid w:val="00155422"/>
    <w:rsid w:val="00156083"/>
    <w:rsid w:val="0016042C"/>
    <w:rsid w:val="0016343B"/>
    <w:rsid w:val="001645E7"/>
    <w:rsid w:val="00171B81"/>
    <w:rsid w:val="00173D82"/>
    <w:rsid w:val="001755FC"/>
    <w:rsid w:val="001774F7"/>
    <w:rsid w:val="00177629"/>
    <w:rsid w:val="00180F98"/>
    <w:rsid w:val="00181CCD"/>
    <w:rsid w:val="00184B0F"/>
    <w:rsid w:val="00184CCC"/>
    <w:rsid w:val="001935B7"/>
    <w:rsid w:val="00195708"/>
    <w:rsid w:val="001A010B"/>
    <w:rsid w:val="001A55F0"/>
    <w:rsid w:val="001A77CE"/>
    <w:rsid w:val="001B5841"/>
    <w:rsid w:val="001B71B8"/>
    <w:rsid w:val="001C2636"/>
    <w:rsid w:val="001C468C"/>
    <w:rsid w:val="001D032A"/>
    <w:rsid w:val="001D288F"/>
    <w:rsid w:val="001D515D"/>
    <w:rsid w:val="001D51CA"/>
    <w:rsid w:val="001D59FC"/>
    <w:rsid w:val="001D603C"/>
    <w:rsid w:val="001E02BB"/>
    <w:rsid w:val="001E4C45"/>
    <w:rsid w:val="001E4F84"/>
    <w:rsid w:val="001E7FAA"/>
    <w:rsid w:val="001F010A"/>
    <w:rsid w:val="001F6014"/>
    <w:rsid w:val="001F624C"/>
    <w:rsid w:val="00204786"/>
    <w:rsid w:val="00205DEA"/>
    <w:rsid w:val="00210038"/>
    <w:rsid w:val="002109F2"/>
    <w:rsid w:val="00213B1F"/>
    <w:rsid w:val="00236BFB"/>
    <w:rsid w:val="00237EDD"/>
    <w:rsid w:val="00240714"/>
    <w:rsid w:val="002432C3"/>
    <w:rsid w:val="002440A2"/>
    <w:rsid w:val="00261C10"/>
    <w:rsid w:val="00264150"/>
    <w:rsid w:val="0026590A"/>
    <w:rsid w:val="00272EEC"/>
    <w:rsid w:val="002733EA"/>
    <w:rsid w:val="00281DB7"/>
    <w:rsid w:val="00287944"/>
    <w:rsid w:val="00293CDE"/>
    <w:rsid w:val="00297B20"/>
    <w:rsid w:val="002A0D0D"/>
    <w:rsid w:val="002A0D0E"/>
    <w:rsid w:val="002B0E62"/>
    <w:rsid w:val="002B2E48"/>
    <w:rsid w:val="002B7A1C"/>
    <w:rsid w:val="002B7CBD"/>
    <w:rsid w:val="002C0678"/>
    <w:rsid w:val="002C6797"/>
    <w:rsid w:val="002C715A"/>
    <w:rsid w:val="002C7FAB"/>
    <w:rsid w:val="002D1AEB"/>
    <w:rsid w:val="002D2B5E"/>
    <w:rsid w:val="002D3558"/>
    <w:rsid w:val="002E29CF"/>
    <w:rsid w:val="002E79E0"/>
    <w:rsid w:val="002F35E2"/>
    <w:rsid w:val="002F4597"/>
    <w:rsid w:val="002F636F"/>
    <w:rsid w:val="00300653"/>
    <w:rsid w:val="003024DF"/>
    <w:rsid w:val="00304BC1"/>
    <w:rsid w:val="00305296"/>
    <w:rsid w:val="00307B7A"/>
    <w:rsid w:val="003101FF"/>
    <w:rsid w:val="00311028"/>
    <w:rsid w:val="00324B98"/>
    <w:rsid w:val="00332F55"/>
    <w:rsid w:val="00333ADC"/>
    <w:rsid w:val="00334DBA"/>
    <w:rsid w:val="003469C5"/>
    <w:rsid w:val="00356E53"/>
    <w:rsid w:val="0036316A"/>
    <w:rsid w:val="00363680"/>
    <w:rsid w:val="00373270"/>
    <w:rsid w:val="003769FA"/>
    <w:rsid w:val="0038443B"/>
    <w:rsid w:val="00386470"/>
    <w:rsid w:val="00387059"/>
    <w:rsid w:val="0038720C"/>
    <w:rsid w:val="003936FE"/>
    <w:rsid w:val="00394790"/>
    <w:rsid w:val="003948E3"/>
    <w:rsid w:val="003A1629"/>
    <w:rsid w:val="003A7C2A"/>
    <w:rsid w:val="003B173E"/>
    <w:rsid w:val="003B5DAA"/>
    <w:rsid w:val="003C0DD0"/>
    <w:rsid w:val="003D0AE4"/>
    <w:rsid w:val="003D1F55"/>
    <w:rsid w:val="003D4A04"/>
    <w:rsid w:val="003D7157"/>
    <w:rsid w:val="003F16AC"/>
    <w:rsid w:val="003F1728"/>
    <w:rsid w:val="003F239F"/>
    <w:rsid w:val="003F3DA0"/>
    <w:rsid w:val="00404FE5"/>
    <w:rsid w:val="0040690B"/>
    <w:rsid w:val="0041705C"/>
    <w:rsid w:val="00421E3A"/>
    <w:rsid w:val="0042211D"/>
    <w:rsid w:val="004316DD"/>
    <w:rsid w:val="004321D9"/>
    <w:rsid w:val="00437853"/>
    <w:rsid w:val="00440953"/>
    <w:rsid w:val="0044396D"/>
    <w:rsid w:val="0044693F"/>
    <w:rsid w:val="0045336C"/>
    <w:rsid w:val="0045520D"/>
    <w:rsid w:val="00456F86"/>
    <w:rsid w:val="00464537"/>
    <w:rsid w:val="004677BC"/>
    <w:rsid w:val="0047105C"/>
    <w:rsid w:val="00475E2D"/>
    <w:rsid w:val="00481A49"/>
    <w:rsid w:val="004827A6"/>
    <w:rsid w:val="00482F0D"/>
    <w:rsid w:val="00483E50"/>
    <w:rsid w:val="00490FDE"/>
    <w:rsid w:val="004A1646"/>
    <w:rsid w:val="004A44E0"/>
    <w:rsid w:val="004A46E1"/>
    <w:rsid w:val="004A47AB"/>
    <w:rsid w:val="004B0496"/>
    <w:rsid w:val="004B4E23"/>
    <w:rsid w:val="004C1574"/>
    <w:rsid w:val="004C61FC"/>
    <w:rsid w:val="004D05F4"/>
    <w:rsid w:val="004D0606"/>
    <w:rsid w:val="004D16D2"/>
    <w:rsid w:val="004D54E2"/>
    <w:rsid w:val="004D5D13"/>
    <w:rsid w:val="004E1F2A"/>
    <w:rsid w:val="004E31BD"/>
    <w:rsid w:val="004E48FC"/>
    <w:rsid w:val="004F461F"/>
    <w:rsid w:val="004F4CD6"/>
    <w:rsid w:val="004F509C"/>
    <w:rsid w:val="00500BC5"/>
    <w:rsid w:val="00501D31"/>
    <w:rsid w:val="00503858"/>
    <w:rsid w:val="00504C31"/>
    <w:rsid w:val="00507B8C"/>
    <w:rsid w:val="00512129"/>
    <w:rsid w:val="00515074"/>
    <w:rsid w:val="00516DE4"/>
    <w:rsid w:val="0051755F"/>
    <w:rsid w:val="005203E8"/>
    <w:rsid w:val="00522B3A"/>
    <w:rsid w:val="005257F1"/>
    <w:rsid w:val="005272AA"/>
    <w:rsid w:val="005276AF"/>
    <w:rsid w:val="005363BA"/>
    <w:rsid w:val="0054174F"/>
    <w:rsid w:val="00551FA9"/>
    <w:rsid w:val="00555AB8"/>
    <w:rsid w:val="0055609C"/>
    <w:rsid w:val="0056273B"/>
    <w:rsid w:val="005750C4"/>
    <w:rsid w:val="005800CB"/>
    <w:rsid w:val="00581165"/>
    <w:rsid w:val="00582C5B"/>
    <w:rsid w:val="00583A47"/>
    <w:rsid w:val="00585C96"/>
    <w:rsid w:val="005874C7"/>
    <w:rsid w:val="00587E13"/>
    <w:rsid w:val="0059438C"/>
    <w:rsid w:val="005A2779"/>
    <w:rsid w:val="005A3B49"/>
    <w:rsid w:val="005B3223"/>
    <w:rsid w:val="005C57F2"/>
    <w:rsid w:val="005C6329"/>
    <w:rsid w:val="005D1FE2"/>
    <w:rsid w:val="005D67D2"/>
    <w:rsid w:val="005E234E"/>
    <w:rsid w:val="005E472C"/>
    <w:rsid w:val="005E51BC"/>
    <w:rsid w:val="005F3295"/>
    <w:rsid w:val="005F4AD2"/>
    <w:rsid w:val="005F6978"/>
    <w:rsid w:val="00601421"/>
    <w:rsid w:val="00605680"/>
    <w:rsid w:val="00606B09"/>
    <w:rsid w:val="006168CB"/>
    <w:rsid w:val="006178ED"/>
    <w:rsid w:val="0062107B"/>
    <w:rsid w:val="006210A5"/>
    <w:rsid w:val="00630B53"/>
    <w:rsid w:val="0063416D"/>
    <w:rsid w:val="00634F80"/>
    <w:rsid w:val="0063775E"/>
    <w:rsid w:val="00637B6D"/>
    <w:rsid w:val="00637FFE"/>
    <w:rsid w:val="00642E7B"/>
    <w:rsid w:val="006516BF"/>
    <w:rsid w:val="00657C2B"/>
    <w:rsid w:val="00661CBE"/>
    <w:rsid w:val="0068137A"/>
    <w:rsid w:val="00686E2F"/>
    <w:rsid w:val="00691AB4"/>
    <w:rsid w:val="006950DB"/>
    <w:rsid w:val="00695E66"/>
    <w:rsid w:val="006A11BF"/>
    <w:rsid w:val="006A1A73"/>
    <w:rsid w:val="006A4A89"/>
    <w:rsid w:val="006A6800"/>
    <w:rsid w:val="006A7632"/>
    <w:rsid w:val="006B17CD"/>
    <w:rsid w:val="006B1C17"/>
    <w:rsid w:val="006B4089"/>
    <w:rsid w:val="006B64B3"/>
    <w:rsid w:val="006C024E"/>
    <w:rsid w:val="006C3B31"/>
    <w:rsid w:val="006C6595"/>
    <w:rsid w:val="006C6E55"/>
    <w:rsid w:val="006D194F"/>
    <w:rsid w:val="006D1BB8"/>
    <w:rsid w:val="006D690B"/>
    <w:rsid w:val="006E72E7"/>
    <w:rsid w:val="006F00BF"/>
    <w:rsid w:val="006F1C6B"/>
    <w:rsid w:val="006F25D3"/>
    <w:rsid w:val="006F4A20"/>
    <w:rsid w:val="00705941"/>
    <w:rsid w:val="0070694C"/>
    <w:rsid w:val="00710A9E"/>
    <w:rsid w:val="007137A8"/>
    <w:rsid w:val="00714C02"/>
    <w:rsid w:val="007162C4"/>
    <w:rsid w:val="0071790A"/>
    <w:rsid w:val="00730CDB"/>
    <w:rsid w:val="00731410"/>
    <w:rsid w:val="00732168"/>
    <w:rsid w:val="007335F7"/>
    <w:rsid w:val="00735A2D"/>
    <w:rsid w:val="00740C6E"/>
    <w:rsid w:val="00741762"/>
    <w:rsid w:val="007555B2"/>
    <w:rsid w:val="00756062"/>
    <w:rsid w:val="00760D01"/>
    <w:rsid w:val="007776A6"/>
    <w:rsid w:val="00777D7D"/>
    <w:rsid w:val="00782FC6"/>
    <w:rsid w:val="00783071"/>
    <w:rsid w:val="0078779C"/>
    <w:rsid w:val="007946E9"/>
    <w:rsid w:val="007A5696"/>
    <w:rsid w:val="007A5916"/>
    <w:rsid w:val="007A6D12"/>
    <w:rsid w:val="007B2184"/>
    <w:rsid w:val="007B783C"/>
    <w:rsid w:val="007C1BB7"/>
    <w:rsid w:val="007C3103"/>
    <w:rsid w:val="007C3492"/>
    <w:rsid w:val="007C37E5"/>
    <w:rsid w:val="007C3FEB"/>
    <w:rsid w:val="007C49A7"/>
    <w:rsid w:val="007C5EEB"/>
    <w:rsid w:val="007C7197"/>
    <w:rsid w:val="007D061B"/>
    <w:rsid w:val="007D3CB8"/>
    <w:rsid w:val="007E1210"/>
    <w:rsid w:val="007E165A"/>
    <w:rsid w:val="007E1FFA"/>
    <w:rsid w:val="007E31C6"/>
    <w:rsid w:val="007E3A0B"/>
    <w:rsid w:val="007F07E7"/>
    <w:rsid w:val="007F125B"/>
    <w:rsid w:val="00804502"/>
    <w:rsid w:val="008122E5"/>
    <w:rsid w:val="0081470E"/>
    <w:rsid w:val="0081508D"/>
    <w:rsid w:val="00826E80"/>
    <w:rsid w:val="00833BCD"/>
    <w:rsid w:val="00836844"/>
    <w:rsid w:val="00842B74"/>
    <w:rsid w:val="008431B0"/>
    <w:rsid w:val="00843E08"/>
    <w:rsid w:val="008520CB"/>
    <w:rsid w:val="0085375A"/>
    <w:rsid w:val="0085761F"/>
    <w:rsid w:val="008612C4"/>
    <w:rsid w:val="00864324"/>
    <w:rsid w:val="00865942"/>
    <w:rsid w:val="008668F5"/>
    <w:rsid w:val="00871A64"/>
    <w:rsid w:val="00873C09"/>
    <w:rsid w:val="00877884"/>
    <w:rsid w:val="0088175F"/>
    <w:rsid w:val="00886250"/>
    <w:rsid w:val="00886A93"/>
    <w:rsid w:val="00886EA9"/>
    <w:rsid w:val="00890559"/>
    <w:rsid w:val="00890AA9"/>
    <w:rsid w:val="008A331D"/>
    <w:rsid w:val="008A47D6"/>
    <w:rsid w:val="008A668C"/>
    <w:rsid w:val="008B0148"/>
    <w:rsid w:val="008B3323"/>
    <w:rsid w:val="008B5BF1"/>
    <w:rsid w:val="008C2801"/>
    <w:rsid w:val="008C2855"/>
    <w:rsid w:val="008C33C7"/>
    <w:rsid w:val="008C5858"/>
    <w:rsid w:val="008C60EC"/>
    <w:rsid w:val="008C7569"/>
    <w:rsid w:val="008C7618"/>
    <w:rsid w:val="008D2228"/>
    <w:rsid w:val="008D72AE"/>
    <w:rsid w:val="008E39E3"/>
    <w:rsid w:val="008E52AE"/>
    <w:rsid w:val="008F0485"/>
    <w:rsid w:val="008F415F"/>
    <w:rsid w:val="008F6941"/>
    <w:rsid w:val="008F6AF8"/>
    <w:rsid w:val="008F6CF0"/>
    <w:rsid w:val="00905F5E"/>
    <w:rsid w:val="00906E4D"/>
    <w:rsid w:val="009127DC"/>
    <w:rsid w:val="00912CE7"/>
    <w:rsid w:val="0091303E"/>
    <w:rsid w:val="0091480A"/>
    <w:rsid w:val="00915A2B"/>
    <w:rsid w:val="009167CE"/>
    <w:rsid w:val="009169A6"/>
    <w:rsid w:val="00920394"/>
    <w:rsid w:val="00925F75"/>
    <w:rsid w:val="009319F2"/>
    <w:rsid w:val="00933286"/>
    <w:rsid w:val="009425B1"/>
    <w:rsid w:val="00943F5D"/>
    <w:rsid w:val="00950AEA"/>
    <w:rsid w:val="009517AA"/>
    <w:rsid w:val="00955F1F"/>
    <w:rsid w:val="00960449"/>
    <w:rsid w:val="00962661"/>
    <w:rsid w:val="00964E94"/>
    <w:rsid w:val="0097750D"/>
    <w:rsid w:val="00977B49"/>
    <w:rsid w:val="00980022"/>
    <w:rsid w:val="00982AB9"/>
    <w:rsid w:val="00986C9D"/>
    <w:rsid w:val="00987C25"/>
    <w:rsid w:val="00992F1B"/>
    <w:rsid w:val="009961AB"/>
    <w:rsid w:val="009A162E"/>
    <w:rsid w:val="009A1A80"/>
    <w:rsid w:val="009A410E"/>
    <w:rsid w:val="009A56C5"/>
    <w:rsid w:val="009B0F2D"/>
    <w:rsid w:val="009B3C1E"/>
    <w:rsid w:val="009B4A0C"/>
    <w:rsid w:val="009B58F5"/>
    <w:rsid w:val="009B6AF7"/>
    <w:rsid w:val="009B7AED"/>
    <w:rsid w:val="009C021E"/>
    <w:rsid w:val="009C1706"/>
    <w:rsid w:val="009C2170"/>
    <w:rsid w:val="009D0DE1"/>
    <w:rsid w:val="009D6420"/>
    <w:rsid w:val="009E1DDE"/>
    <w:rsid w:val="009E42C8"/>
    <w:rsid w:val="009E5101"/>
    <w:rsid w:val="009E55FB"/>
    <w:rsid w:val="009F51B6"/>
    <w:rsid w:val="00A03742"/>
    <w:rsid w:val="00A060B8"/>
    <w:rsid w:val="00A14963"/>
    <w:rsid w:val="00A164FC"/>
    <w:rsid w:val="00A17C8F"/>
    <w:rsid w:val="00A203A2"/>
    <w:rsid w:val="00A2296F"/>
    <w:rsid w:val="00A26630"/>
    <w:rsid w:val="00A31153"/>
    <w:rsid w:val="00A33AAD"/>
    <w:rsid w:val="00A4039F"/>
    <w:rsid w:val="00A43F1F"/>
    <w:rsid w:val="00A43F2D"/>
    <w:rsid w:val="00A446DD"/>
    <w:rsid w:val="00A45100"/>
    <w:rsid w:val="00A53EA5"/>
    <w:rsid w:val="00A54EE3"/>
    <w:rsid w:val="00A5580C"/>
    <w:rsid w:val="00A5766A"/>
    <w:rsid w:val="00A605C5"/>
    <w:rsid w:val="00A66024"/>
    <w:rsid w:val="00A72A61"/>
    <w:rsid w:val="00A72E82"/>
    <w:rsid w:val="00A776A4"/>
    <w:rsid w:val="00A85466"/>
    <w:rsid w:val="00A90BCC"/>
    <w:rsid w:val="00AA1F0B"/>
    <w:rsid w:val="00AB0488"/>
    <w:rsid w:val="00AB0618"/>
    <w:rsid w:val="00AB22F2"/>
    <w:rsid w:val="00AB3477"/>
    <w:rsid w:val="00AB4B32"/>
    <w:rsid w:val="00AB4D07"/>
    <w:rsid w:val="00AC1372"/>
    <w:rsid w:val="00AC4E64"/>
    <w:rsid w:val="00AD5B18"/>
    <w:rsid w:val="00AD6FAF"/>
    <w:rsid w:val="00AE03EB"/>
    <w:rsid w:val="00AE47EB"/>
    <w:rsid w:val="00AE49E2"/>
    <w:rsid w:val="00AE5EDF"/>
    <w:rsid w:val="00AE7862"/>
    <w:rsid w:val="00AF01E7"/>
    <w:rsid w:val="00AF07AE"/>
    <w:rsid w:val="00AF095A"/>
    <w:rsid w:val="00AF0988"/>
    <w:rsid w:val="00AF15FA"/>
    <w:rsid w:val="00AF23AA"/>
    <w:rsid w:val="00AF2AE0"/>
    <w:rsid w:val="00AF6D9D"/>
    <w:rsid w:val="00AF782F"/>
    <w:rsid w:val="00B009FB"/>
    <w:rsid w:val="00B00E04"/>
    <w:rsid w:val="00B01932"/>
    <w:rsid w:val="00B14E5F"/>
    <w:rsid w:val="00B15D56"/>
    <w:rsid w:val="00B20890"/>
    <w:rsid w:val="00B23A9E"/>
    <w:rsid w:val="00B24E6D"/>
    <w:rsid w:val="00B2541A"/>
    <w:rsid w:val="00B26FC1"/>
    <w:rsid w:val="00B3550F"/>
    <w:rsid w:val="00B3590F"/>
    <w:rsid w:val="00B46AFE"/>
    <w:rsid w:val="00B47F0B"/>
    <w:rsid w:val="00B511AA"/>
    <w:rsid w:val="00B52A87"/>
    <w:rsid w:val="00B55FE1"/>
    <w:rsid w:val="00B61CD0"/>
    <w:rsid w:val="00B63320"/>
    <w:rsid w:val="00B64326"/>
    <w:rsid w:val="00B657B6"/>
    <w:rsid w:val="00B70C6D"/>
    <w:rsid w:val="00B738CD"/>
    <w:rsid w:val="00B75080"/>
    <w:rsid w:val="00B76664"/>
    <w:rsid w:val="00B778F1"/>
    <w:rsid w:val="00B929C6"/>
    <w:rsid w:val="00B9466F"/>
    <w:rsid w:val="00B95277"/>
    <w:rsid w:val="00B97295"/>
    <w:rsid w:val="00B978B5"/>
    <w:rsid w:val="00BA1A79"/>
    <w:rsid w:val="00BA3ACE"/>
    <w:rsid w:val="00BA42AB"/>
    <w:rsid w:val="00BB0590"/>
    <w:rsid w:val="00BB20FB"/>
    <w:rsid w:val="00BB3A34"/>
    <w:rsid w:val="00BB4ED5"/>
    <w:rsid w:val="00BB610A"/>
    <w:rsid w:val="00BB6901"/>
    <w:rsid w:val="00BB6BC0"/>
    <w:rsid w:val="00BC2DB1"/>
    <w:rsid w:val="00BC3C25"/>
    <w:rsid w:val="00BC5AA6"/>
    <w:rsid w:val="00BF3DD1"/>
    <w:rsid w:val="00BF5570"/>
    <w:rsid w:val="00BF6C58"/>
    <w:rsid w:val="00C040EC"/>
    <w:rsid w:val="00C04A89"/>
    <w:rsid w:val="00C05845"/>
    <w:rsid w:val="00C06CFC"/>
    <w:rsid w:val="00C1239D"/>
    <w:rsid w:val="00C15239"/>
    <w:rsid w:val="00C15F43"/>
    <w:rsid w:val="00C17B89"/>
    <w:rsid w:val="00C17BF7"/>
    <w:rsid w:val="00C223C7"/>
    <w:rsid w:val="00C30088"/>
    <w:rsid w:val="00C335FC"/>
    <w:rsid w:val="00C41EF7"/>
    <w:rsid w:val="00C51A53"/>
    <w:rsid w:val="00C52B9C"/>
    <w:rsid w:val="00C544EE"/>
    <w:rsid w:val="00C56CCC"/>
    <w:rsid w:val="00C6354B"/>
    <w:rsid w:val="00C64B3A"/>
    <w:rsid w:val="00C64D85"/>
    <w:rsid w:val="00C813D8"/>
    <w:rsid w:val="00C847B6"/>
    <w:rsid w:val="00C90630"/>
    <w:rsid w:val="00C91D64"/>
    <w:rsid w:val="00C9755B"/>
    <w:rsid w:val="00C97D04"/>
    <w:rsid w:val="00CA129D"/>
    <w:rsid w:val="00CA3F16"/>
    <w:rsid w:val="00CB6223"/>
    <w:rsid w:val="00CB6F15"/>
    <w:rsid w:val="00CC0A07"/>
    <w:rsid w:val="00CC19AD"/>
    <w:rsid w:val="00CC2F05"/>
    <w:rsid w:val="00CC4FFD"/>
    <w:rsid w:val="00CD0469"/>
    <w:rsid w:val="00CD0E97"/>
    <w:rsid w:val="00CD1D88"/>
    <w:rsid w:val="00CD54FD"/>
    <w:rsid w:val="00CD7850"/>
    <w:rsid w:val="00CE3C50"/>
    <w:rsid w:val="00CE51EC"/>
    <w:rsid w:val="00CF3F80"/>
    <w:rsid w:val="00CF430E"/>
    <w:rsid w:val="00CF4692"/>
    <w:rsid w:val="00CF543F"/>
    <w:rsid w:val="00D0381A"/>
    <w:rsid w:val="00D04640"/>
    <w:rsid w:val="00D120F0"/>
    <w:rsid w:val="00D1256C"/>
    <w:rsid w:val="00D145D8"/>
    <w:rsid w:val="00D21F99"/>
    <w:rsid w:val="00D25128"/>
    <w:rsid w:val="00D31027"/>
    <w:rsid w:val="00D352A0"/>
    <w:rsid w:val="00D35D2B"/>
    <w:rsid w:val="00D378A5"/>
    <w:rsid w:val="00D44C79"/>
    <w:rsid w:val="00D46261"/>
    <w:rsid w:val="00D46CA4"/>
    <w:rsid w:val="00D47DD6"/>
    <w:rsid w:val="00D504E1"/>
    <w:rsid w:val="00D50873"/>
    <w:rsid w:val="00D52B6B"/>
    <w:rsid w:val="00D537C0"/>
    <w:rsid w:val="00D57F42"/>
    <w:rsid w:val="00D621E6"/>
    <w:rsid w:val="00D67288"/>
    <w:rsid w:val="00D70E94"/>
    <w:rsid w:val="00D74461"/>
    <w:rsid w:val="00D76517"/>
    <w:rsid w:val="00D76D35"/>
    <w:rsid w:val="00D8013F"/>
    <w:rsid w:val="00D83DB0"/>
    <w:rsid w:val="00D83F4D"/>
    <w:rsid w:val="00D842C1"/>
    <w:rsid w:val="00D92047"/>
    <w:rsid w:val="00D92B7B"/>
    <w:rsid w:val="00D967F9"/>
    <w:rsid w:val="00DA3F85"/>
    <w:rsid w:val="00DB1E31"/>
    <w:rsid w:val="00DB2D82"/>
    <w:rsid w:val="00DB4C26"/>
    <w:rsid w:val="00DB5491"/>
    <w:rsid w:val="00DC313C"/>
    <w:rsid w:val="00DC4C5B"/>
    <w:rsid w:val="00DC621D"/>
    <w:rsid w:val="00DD4BED"/>
    <w:rsid w:val="00DD7139"/>
    <w:rsid w:val="00DD7A04"/>
    <w:rsid w:val="00DD7A8B"/>
    <w:rsid w:val="00DE1A5D"/>
    <w:rsid w:val="00DE1FC0"/>
    <w:rsid w:val="00DE29B7"/>
    <w:rsid w:val="00DE5E39"/>
    <w:rsid w:val="00DE67CD"/>
    <w:rsid w:val="00DF3A2B"/>
    <w:rsid w:val="00DF45AF"/>
    <w:rsid w:val="00DF7D30"/>
    <w:rsid w:val="00E022BC"/>
    <w:rsid w:val="00E03A2E"/>
    <w:rsid w:val="00E11278"/>
    <w:rsid w:val="00E11F9F"/>
    <w:rsid w:val="00E13383"/>
    <w:rsid w:val="00E170B5"/>
    <w:rsid w:val="00E2152C"/>
    <w:rsid w:val="00E22CBB"/>
    <w:rsid w:val="00E244A0"/>
    <w:rsid w:val="00E2589E"/>
    <w:rsid w:val="00E27B38"/>
    <w:rsid w:val="00E27E29"/>
    <w:rsid w:val="00E31E5D"/>
    <w:rsid w:val="00E32E63"/>
    <w:rsid w:val="00E5237F"/>
    <w:rsid w:val="00E555B8"/>
    <w:rsid w:val="00E5729C"/>
    <w:rsid w:val="00E64401"/>
    <w:rsid w:val="00E66BB8"/>
    <w:rsid w:val="00E67406"/>
    <w:rsid w:val="00E74C1F"/>
    <w:rsid w:val="00E830C4"/>
    <w:rsid w:val="00E90817"/>
    <w:rsid w:val="00E9143D"/>
    <w:rsid w:val="00E93B3A"/>
    <w:rsid w:val="00E94ABF"/>
    <w:rsid w:val="00E95F5E"/>
    <w:rsid w:val="00E963EA"/>
    <w:rsid w:val="00EA1223"/>
    <w:rsid w:val="00EA454A"/>
    <w:rsid w:val="00EA5032"/>
    <w:rsid w:val="00EA6204"/>
    <w:rsid w:val="00EA79E5"/>
    <w:rsid w:val="00EB136C"/>
    <w:rsid w:val="00EB3719"/>
    <w:rsid w:val="00EB41D4"/>
    <w:rsid w:val="00EB668E"/>
    <w:rsid w:val="00EB7A40"/>
    <w:rsid w:val="00EC3411"/>
    <w:rsid w:val="00EC5AD1"/>
    <w:rsid w:val="00ED05C8"/>
    <w:rsid w:val="00ED10B0"/>
    <w:rsid w:val="00ED22E9"/>
    <w:rsid w:val="00ED314C"/>
    <w:rsid w:val="00ED41FB"/>
    <w:rsid w:val="00EE4356"/>
    <w:rsid w:val="00EE7F38"/>
    <w:rsid w:val="00EF0791"/>
    <w:rsid w:val="00EF6498"/>
    <w:rsid w:val="00F00E95"/>
    <w:rsid w:val="00F01A5F"/>
    <w:rsid w:val="00F0257D"/>
    <w:rsid w:val="00F047AC"/>
    <w:rsid w:val="00F05342"/>
    <w:rsid w:val="00F122C4"/>
    <w:rsid w:val="00F123BC"/>
    <w:rsid w:val="00F15639"/>
    <w:rsid w:val="00F1604A"/>
    <w:rsid w:val="00F179D4"/>
    <w:rsid w:val="00F21D73"/>
    <w:rsid w:val="00F2438A"/>
    <w:rsid w:val="00F24F54"/>
    <w:rsid w:val="00F26B0A"/>
    <w:rsid w:val="00F27CAF"/>
    <w:rsid w:val="00F340C4"/>
    <w:rsid w:val="00F366EB"/>
    <w:rsid w:val="00F43E32"/>
    <w:rsid w:val="00F44D14"/>
    <w:rsid w:val="00F46462"/>
    <w:rsid w:val="00F47D16"/>
    <w:rsid w:val="00F50951"/>
    <w:rsid w:val="00F51586"/>
    <w:rsid w:val="00F57296"/>
    <w:rsid w:val="00F63FDF"/>
    <w:rsid w:val="00F65B7D"/>
    <w:rsid w:val="00F721ED"/>
    <w:rsid w:val="00F73832"/>
    <w:rsid w:val="00F76DC7"/>
    <w:rsid w:val="00F76E43"/>
    <w:rsid w:val="00F8164C"/>
    <w:rsid w:val="00F86354"/>
    <w:rsid w:val="00F878BA"/>
    <w:rsid w:val="00F902E6"/>
    <w:rsid w:val="00F9072C"/>
    <w:rsid w:val="00F94DCA"/>
    <w:rsid w:val="00FA4C09"/>
    <w:rsid w:val="00FA50EF"/>
    <w:rsid w:val="00FA58AE"/>
    <w:rsid w:val="00FB3253"/>
    <w:rsid w:val="00FB4B25"/>
    <w:rsid w:val="00FC3C6C"/>
    <w:rsid w:val="00FC65E6"/>
    <w:rsid w:val="00FD1066"/>
    <w:rsid w:val="00FD18A5"/>
    <w:rsid w:val="00FE45A4"/>
    <w:rsid w:val="00FE4F43"/>
    <w:rsid w:val="00FF0187"/>
    <w:rsid w:val="00FF0D87"/>
    <w:rsid w:val="00FF137D"/>
    <w:rsid w:val="00FF6474"/>
    <w:rsid w:val="00FF7648"/>
    <w:rsid w:val="00FF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2FA6B0C-A878-4402-A252-9D25E811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557"/>
    <w:rPr>
      <w:rFonts w:ascii="Times New Roman" w:eastAsia="Times New Roman" w:hAnsi="Times New Roman"/>
      <w:sz w:val="24"/>
      <w:szCs w:val="24"/>
    </w:rPr>
  </w:style>
  <w:style w:type="paragraph" w:styleId="Heading3">
    <w:name w:val="heading 3"/>
    <w:basedOn w:val="Normal"/>
    <w:next w:val="BodyText"/>
    <w:link w:val="Heading3Char"/>
    <w:uiPriority w:val="99"/>
    <w:qFormat/>
    <w:rsid w:val="00036F55"/>
    <w:pPr>
      <w:keepNext/>
      <w:keepLines/>
      <w:spacing w:line="180" w:lineRule="atLeast"/>
      <w:ind w:left="360"/>
      <w:outlineLvl w:val="2"/>
    </w:pPr>
    <w:rPr>
      <w:rFonts w:ascii="Arial Black" w:hAnsi="Arial Black"/>
      <w:spacing w:val="-5"/>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36F55"/>
    <w:rPr>
      <w:rFonts w:ascii="Arial Black" w:hAnsi="Arial Black" w:cs="Times New Roman"/>
      <w:spacing w:val="-5"/>
      <w:kern w:val="28"/>
      <w:sz w:val="20"/>
      <w:szCs w:val="20"/>
    </w:rPr>
  </w:style>
  <w:style w:type="paragraph" w:styleId="BodyTextIndent">
    <w:name w:val="Body Text Indent"/>
    <w:basedOn w:val="Normal"/>
    <w:link w:val="BodyTextIndentChar"/>
    <w:uiPriority w:val="99"/>
    <w:rsid w:val="007555B2"/>
    <w:pPr>
      <w:spacing w:after="240" w:line="360" w:lineRule="auto"/>
      <w:ind w:left="720"/>
    </w:pPr>
    <w:rPr>
      <w:szCs w:val="20"/>
    </w:rPr>
  </w:style>
  <w:style w:type="character" w:customStyle="1" w:styleId="BodyTextIndentChar">
    <w:name w:val="Body Text Indent Char"/>
    <w:basedOn w:val="DefaultParagraphFont"/>
    <w:link w:val="BodyTextIndent"/>
    <w:uiPriority w:val="99"/>
    <w:locked/>
    <w:rsid w:val="007555B2"/>
    <w:rPr>
      <w:rFonts w:ascii="Times New Roman" w:hAnsi="Times New Roman" w:cs="Times New Roman"/>
      <w:sz w:val="20"/>
      <w:szCs w:val="20"/>
    </w:rPr>
  </w:style>
  <w:style w:type="paragraph" w:styleId="ListParagraph">
    <w:name w:val="List Paragraph"/>
    <w:basedOn w:val="Normal"/>
    <w:uiPriority w:val="34"/>
    <w:qFormat/>
    <w:rsid w:val="007555B2"/>
    <w:pPr>
      <w:ind w:left="720"/>
      <w:contextualSpacing/>
    </w:pPr>
  </w:style>
  <w:style w:type="character" w:styleId="Hyperlink">
    <w:name w:val="Hyperlink"/>
    <w:basedOn w:val="DefaultParagraphFont"/>
    <w:uiPriority w:val="99"/>
    <w:rsid w:val="00F57296"/>
    <w:rPr>
      <w:rFonts w:cs="Times New Roman"/>
      <w:color w:val="0000FF"/>
      <w:u w:val="single"/>
    </w:rPr>
  </w:style>
  <w:style w:type="table" w:styleId="TableGrid">
    <w:name w:val="Table Grid"/>
    <w:basedOn w:val="TableNormal"/>
    <w:uiPriority w:val="99"/>
    <w:rsid w:val="00C847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036F55"/>
    <w:pPr>
      <w:spacing w:after="120"/>
    </w:pPr>
  </w:style>
  <w:style w:type="character" w:customStyle="1" w:styleId="BodyTextChar">
    <w:name w:val="Body Text Char"/>
    <w:basedOn w:val="DefaultParagraphFont"/>
    <w:link w:val="BodyText"/>
    <w:uiPriority w:val="99"/>
    <w:locked/>
    <w:rsid w:val="00036F55"/>
    <w:rPr>
      <w:rFonts w:ascii="Times New Roman" w:hAnsi="Times New Roman" w:cs="Times New Roman"/>
      <w:sz w:val="24"/>
      <w:szCs w:val="24"/>
    </w:rPr>
  </w:style>
  <w:style w:type="paragraph" w:styleId="FootnoteText">
    <w:name w:val="footnote text"/>
    <w:basedOn w:val="Normal"/>
    <w:link w:val="FootnoteTextChar"/>
    <w:uiPriority w:val="99"/>
    <w:semiHidden/>
    <w:rsid w:val="00036F55"/>
    <w:rPr>
      <w:rFonts w:ascii="Arial" w:hAnsi="Arial"/>
      <w:spacing w:val="-5"/>
      <w:sz w:val="20"/>
      <w:szCs w:val="20"/>
    </w:rPr>
  </w:style>
  <w:style w:type="character" w:customStyle="1" w:styleId="FootnoteTextChar">
    <w:name w:val="Footnote Text Char"/>
    <w:basedOn w:val="DefaultParagraphFont"/>
    <w:link w:val="FootnoteText"/>
    <w:uiPriority w:val="99"/>
    <w:semiHidden/>
    <w:locked/>
    <w:rsid w:val="00036F55"/>
    <w:rPr>
      <w:rFonts w:ascii="Arial" w:hAnsi="Arial" w:cs="Times New Roman"/>
      <w:spacing w:val="-5"/>
      <w:sz w:val="20"/>
      <w:szCs w:val="20"/>
    </w:rPr>
  </w:style>
  <w:style w:type="character" w:styleId="FootnoteReference">
    <w:name w:val="footnote reference"/>
    <w:basedOn w:val="DefaultParagraphFont"/>
    <w:uiPriority w:val="99"/>
    <w:semiHidden/>
    <w:rsid w:val="00036F55"/>
    <w:rPr>
      <w:rFonts w:cs="Times New Roman"/>
      <w:vertAlign w:val="superscript"/>
    </w:rPr>
  </w:style>
  <w:style w:type="paragraph" w:styleId="BalloonText">
    <w:name w:val="Balloon Text"/>
    <w:basedOn w:val="Normal"/>
    <w:link w:val="BalloonTextChar"/>
    <w:uiPriority w:val="99"/>
    <w:semiHidden/>
    <w:rsid w:val="00057A8F"/>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57A8F"/>
    <w:rPr>
      <w:rFonts w:ascii="Segoe UI" w:hAnsi="Segoe UI" w:cs="Segoe UI"/>
      <w:sz w:val="18"/>
      <w:szCs w:val="18"/>
    </w:rPr>
  </w:style>
  <w:style w:type="character" w:styleId="FollowedHyperlink">
    <w:name w:val="FollowedHyperlink"/>
    <w:basedOn w:val="DefaultParagraphFont"/>
    <w:uiPriority w:val="99"/>
    <w:semiHidden/>
    <w:rsid w:val="000E55A7"/>
    <w:rPr>
      <w:rFonts w:cs="Times New Roman"/>
      <w:color w:val="800080"/>
      <w:u w:val="single"/>
    </w:rPr>
  </w:style>
  <w:style w:type="character" w:styleId="SubtleEmphasis">
    <w:name w:val="Subtle Emphasis"/>
    <w:basedOn w:val="DefaultParagraphFont"/>
    <w:uiPriority w:val="99"/>
    <w:qFormat/>
    <w:rsid w:val="006C3B31"/>
    <w:rPr>
      <w:rFonts w:cs="Times New Roman"/>
      <w:i/>
      <w:iCs/>
      <w:color w:val="404040"/>
    </w:rPr>
  </w:style>
  <w:style w:type="character" w:styleId="CommentReference">
    <w:name w:val="annotation reference"/>
    <w:basedOn w:val="DefaultParagraphFont"/>
    <w:uiPriority w:val="99"/>
    <w:semiHidden/>
    <w:rsid w:val="006C3B31"/>
    <w:rPr>
      <w:rFonts w:cs="Times New Roman"/>
      <w:sz w:val="16"/>
      <w:szCs w:val="16"/>
    </w:rPr>
  </w:style>
  <w:style w:type="paragraph" w:styleId="CommentText">
    <w:name w:val="annotation text"/>
    <w:basedOn w:val="Normal"/>
    <w:link w:val="CommentTextChar"/>
    <w:uiPriority w:val="99"/>
    <w:semiHidden/>
    <w:rsid w:val="006C3B31"/>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semiHidden/>
    <w:locked/>
    <w:rsid w:val="006C3B31"/>
    <w:rPr>
      <w:rFonts w:cs="Times New Roman"/>
      <w:sz w:val="20"/>
      <w:szCs w:val="20"/>
    </w:rPr>
  </w:style>
  <w:style w:type="paragraph" w:customStyle="1" w:styleId="Default">
    <w:name w:val="Default"/>
    <w:rsid w:val="00EF0791"/>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rsid w:val="009961AB"/>
    <w:pPr>
      <w:tabs>
        <w:tab w:val="center" w:pos="4680"/>
        <w:tab w:val="right" w:pos="9360"/>
      </w:tabs>
    </w:pPr>
  </w:style>
  <w:style w:type="character" w:customStyle="1" w:styleId="HeaderChar">
    <w:name w:val="Header Char"/>
    <w:basedOn w:val="DefaultParagraphFont"/>
    <w:link w:val="Header"/>
    <w:uiPriority w:val="99"/>
    <w:locked/>
    <w:rsid w:val="009961AB"/>
    <w:rPr>
      <w:rFonts w:ascii="Times New Roman" w:hAnsi="Times New Roman" w:cs="Times New Roman"/>
      <w:sz w:val="24"/>
      <w:szCs w:val="24"/>
    </w:rPr>
  </w:style>
  <w:style w:type="paragraph" w:styleId="Footer">
    <w:name w:val="footer"/>
    <w:basedOn w:val="Normal"/>
    <w:link w:val="FooterChar"/>
    <w:uiPriority w:val="99"/>
    <w:rsid w:val="009961AB"/>
    <w:pPr>
      <w:tabs>
        <w:tab w:val="center" w:pos="4680"/>
        <w:tab w:val="right" w:pos="9360"/>
      </w:tabs>
    </w:pPr>
  </w:style>
  <w:style w:type="character" w:customStyle="1" w:styleId="FooterChar">
    <w:name w:val="Footer Char"/>
    <w:basedOn w:val="DefaultParagraphFont"/>
    <w:link w:val="Footer"/>
    <w:uiPriority w:val="99"/>
    <w:locked/>
    <w:rsid w:val="009961AB"/>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F47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020318">
      <w:bodyDiv w:val="1"/>
      <w:marLeft w:val="0"/>
      <w:marRight w:val="0"/>
      <w:marTop w:val="0"/>
      <w:marBottom w:val="0"/>
      <w:divBdr>
        <w:top w:val="none" w:sz="0" w:space="0" w:color="auto"/>
        <w:left w:val="none" w:sz="0" w:space="0" w:color="auto"/>
        <w:bottom w:val="none" w:sz="0" w:space="0" w:color="auto"/>
        <w:right w:val="none" w:sz="0" w:space="0" w:color="auto"/>
      </w:divBdr>
    </w:div>
    <w:div w:id="1240137927">
      <w:marLeft w:val="0"/>
      <w:marRight w:val="0"/>
      <w:marTop w:val="0"/>
      <w:marBottom w:val="0"/>
      <w:divBdr>
        <w:top w:val="none" w:sz="0" w:space="0" w:color="auto"/>
        <w:left w:val="none" w:sz="0" w:space="0" w:color="auto"/>
        <w:bottom w:val="none" w:sz="0" w:space="0" w:color="auto"/>
        <w:right w:val="none" w:sz="0" w:space="0" w:color="auto"/>
      </w:divBdr>
    </w:div>
    <w:div w:id="12401379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mclarnon@traversthorpalberga.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ccourts.org/is-investment-fund-segregated-portfolio-company-v-fair-cheerful-lt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40101-CC8C-4F07-879E-AD4165E8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909</Words>
  <Characters>4776</Characters>
  <Application>Microsoft Office Word</Application>
  <DocSecurity>0</DocSecurity>
  <Lines>398</Lines>
  <Paragraphs>284</Paragraphs>
  <ScaleCrop>false</ScaleCrop>
  <HeadingPairs>
    <vt:vector size="2" baseType="variant">
      <vt:variant>
        <vt:lpstr>Title</vt:lpstr>
      </vt:variant>
      <vt:variant>
        <vt:i4>1</vt:i4>
      </vt:variant>
    </vt:vector>
  </HeadingPairs>
  <TitlesOfParts>
    <vt:vector size="1" baseType="lpstr">
      <vt:lpstr>Client Memorandum</vt:lpstr>
    </vt:vector>
  </TitlesOfParts>
  <Company>Hewlett-Packard Company</Company>
  <LinksUpToDate>false</LinksUpToDate>
  <CharactersWithSpaces>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Memorandum</dc:title>
  <dc:subject/>
  <dc:creator>nmclarnon</dc:creator>
  <cp:keywords/>
  <dc:description/>
  <cp:lastModifiedBy>NM</cp:lastModifiedBy>
  <cp:revision>2</cp:revision>
  <cp:lastPrinted>2022-06-07T18:49:00Z</cp:lastPrinted>
  <dcterms:created xsi:type="dcterms:W3CDTF">2022-06-07T19:17:00Z</dcterms:created>
  <dcterms:modified xsi:type="dcterms:W3CDTF">2022-06-07T19:17:00Z</dcterms:modified>
</cp:coreProperties>
</file>