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D45D7" w14:textId="77777777" w:rsidR="002C0678" w:rsidRDefault="002C0678" w:rsidP="009669C6">
      <w:pPr>
        <w:pStyle w:val="Title"/>
        <w:ind w:left="0"/>
        <w:rPr>
          <w:color w:val="0070C0"/>
          <w:sz w:val="26"/>
          <w:szCs w:val="26"/>
        </w:rPr>
      </w:pPr>
    </w:p>
    <w:p w14:paraId="1FE7A88C" w14:textId="77777777" w:rsidR="002C0678" w:rsidRDefault="002C0678" w:rsidP="009669C6">
      <w:pPr>
        <w:pStyle w:val="Title"/>
        <w:ind w:left="0"/>
        <w:rPr>
          <w:color w:val="0070C0"/>
          <w:sz w:val="26"/>
          <w:szCs w:val="26"/>
        </w:rPr>
      </w:pPr>
    </w:p>
    <w:p w14:paraId="57FC686B" w14:textId="3A5D147C" w:rsidR="001F648D" w:rsidRPr="00004F8C" w:rsidRDefault="001F648D" w:rsidP="009669C6">
      <w:pPr>
        <w:pStyle w:val="Title"/>
        <w:ind w:left="0"/>
        <w:rPr>
          <w:sz w:val="32"/>
          <w:szCs w:val="32"/>
        </w:rPr>
      </w:pPr>
      <w:r w:rsidRPr="00004F8C">
        <w:rPr>
          <w:color w:val="0070C0"/>
          <w:sz w:val="32"/>
          <w:szCs w:val="32"/>
        </w:rPr>
        <w:t>Client</w:t>
      </w:r>
      <w:r w:rsidRPr="00004F8C">
        <w:rPr>
          <w:color w:val="0070C0"/>
          <w:spacing w:val="-7"/>
          <w:sz w:val="32"/>
          <w:szCs w:val="32"/>
        </w:rPr>
        <w:t xml:space="preserve"> </w:t>
      </w:r>
      <w:r w:rsidRPr="00004F8C">
        <w:rPr>
          <w:color w:val="0070C0"/>
          <w:spacing w:val="-2"/>
          <w:sz w:val="32"/>
          <w:szCs w:val="32"/>
        </w:rPr>
        <w:t>Memorandum</w:t>
      </w:r>
    </w:p>
    <w:p w14:paraId="66CE2B53" w14:textId="4ED8BBBD" w:rsidR="005E37B6" w:rsidRPr="00457FE2" w:rsidRDefault="00EE7125" w:rsidP="00EB07E9">
      <w:pPr>
        <w:spacing w:before="120" w:after="120"/>
        <w:rPr>
          <w:rFonts w:ascii="Arial" w:hAnsi="Arial" w:cs="Arial"/>
          <w:b/>
          <w:bCs/>
          <w:sz w:val="26"/>
          <w:szCs w:val="26"/>
        </w:rPr>
      </w:pPr>
      <w:r w:rsidRPr="00457FE2">
        <w:rPr>
          <w:rFonts w:ascii="Arial" w:hAnsi="Arial" w:cs="Arial"/>
          <w:b/>
          <w:bCs/>
          <w:sz w:val="26"/>
          <w:szCs w:val="26"/>
        </w:rPr>
        <w:t xml:space="preserve">Updates to the </w:t>
      </w:r>
      <w:r w:rsidR="002A121C" w:rsidRPr="00457FE2">
        <w:rPr>
          <w:rFonts w:ascii="Arial" w:hAnsi="Arial" w:cs="Arial"/>
          <w:b/>
          <w:bCs/>
          <w:sz w:val="26"/>
          <w:szCs w:val="26"/>
        </w:rPr>
        <w:t xml:space="preserve">Cayman Islands </w:t>
      </w:r>
      <w:r w:rsidR="00D565B5" w:rsidRPr="00457FE2">
        <w:rPr>
          <w:rFonts w:ascii="Arial" w:hAnsi="Arial" w:cs="Arial"/>
          <w:b/>
          <w:bCs/>
          <w:sz w:val="26"/>
          <w:szCs w:val="26"/>
        </w:rPr>
        <w:t>Beneficial Ownership</w:t>
      </w:r>
      <w:r w:rsidR="00013E5C" w:rsidRPr="00457FE2">
        <w:rPr>
          <w:rFonts w:ascii="Arial" w:hAnsi="Arial" w:cs="Arial"/>
          <w:b/>
          <w:bCs/>
          <w:sz w:val="26"/>
          <w:szCs w:val="26"/>
        </w:rPr>
        <w:t xml:space="preserve"> Reporting</w:t>
      </w:r>
      <w:r w:rsidR="00D565B5" w:rsidRPr="00457FE2">
        <w:rPr>
          <w:rFonts w:ascii="Arial" w:hAnsi="Arial" w:cs="Arial"/>
          <w:b/>
          <w:bCs/>
          <w:sz w:val="26"/>
          <w:szCs w:val="26"/>
        </w:rPr>
        <w:t xml:space="preserve"> Regime</w:t>
      </w:r>
      <w:r w:rsidR="00D906F6" w:rsidRPr="00457FE2">
        <w:rPr>
          <w:rFonts w:ascii="Arial" w:hAnsi="Arial" w:cs="Arial"/>
          <w:b/>
          <w:bCs/>
          <w:sz w:val="26"/>
          <w:szCs w:val="26"/>
        </w:rPr>
        <w:t xml:space="preserve"> </w:t>
      </w:r>
    </w:p>
    <w:p w14:paraId="0D9F8783" w14:textId="7D9C123A" w:rsidR="005E37B6" w:rsidRPr="002D391F" w:rsidRDefault="00693B35" w:rsidP="00133205">
      <w:pPr>
        <w:spacing w:before="120"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14</w:t>
      </w:r>
      <w:r w:rsidRPr="00457FE2">
        <w:rPr>
          <w:rFonts w:ascii="Arial" w:hAnsi="Arial" w:cs="Arial"/>
          <w:b/>
          <w:bCs/>
          <w:sz w:val="20"/>
          <w:szCs w:val="20"/>
        </w:rPr>
        <w:t xml:space="preserve"> </w:t>
      </w:r>
      <w:r w:rsidR="0090380F" w:rsidRPr="00457FE2">
        <w:rPr>
          <w:rFonts w:ascii="Arial" w:hAnsi="Arial" w:cs="Arial"/>
          <w:b/>
          <w:bCs/>
          <w:sz w:val="20"/>
          <w:szCs w:val="20"/>
        </w:rPr>
        <w:t>August 2024</w:t>
      </w:r>
    </w:p>
    <w:p w14:paraId="00EE714C" w14:textId="3AB9F8C3" w:rsidR="005E37B6" w:rsidRPr="002D391F" w:rsidRDefault="00F578CB" w:rsidP="00133205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2D391F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</w:t>
      </w:r>
      <w:r w:rsidR="00133205">
        <w:rPr>
          <w:rFonts w:ascii="Arial" w:hAnsi="Arial" w:cs="Arial"/>
          <w:b/>
          <w:bCs/>
          <w:sz w:val="20"/>
          <w:szCs w:val="20"/>
        </w:rPr>
        <w:t>________</w:t>
      </w:r>
    </w:p>
    <w:p w14:paraId="7717D9DA" w14:textId="2A971431" w:rsidR="00430523" w:rsidRPr="002D391F" w:rsidRDefault="0090380F" w:rsidP="00EB07E9">
      <w:pPr>
        <w:spacing w:before="120" w:after="120"/>
        <w:rPr>
          <w:rFonts w:ascii="Arial" w:eastAsia="Arial" w:hAnsi="Arial" w:cs="Arial"/>
          <w:b/>
          <w:bCs/>
          <w:color w:val="0070C0"/>
          <w:kern w:val="0"/>
          <w14:ligatures w14:val="none"/>
        </w:rPr>
      </w:pPr>
      <w:r w:rsidRPr="002D391F">
        <w:rPr>
          <w:rFonts w:ascii="Arial" w:eastAsia="Arial" w:hAnsi="Arial" w:cs="Arial"/>
          <w:b/>
          <w:bCs/>
          <w:color w:val="0070C0"/>
          <w:kern w:val="0"/>
          <w14:ligatures w14:val="none"/>
        </w:rPr>
        <w:t>Introduction</w:t>
      </w:r>
    </w:p>
    <w:p w14:paraId="10CED203" w14:textId="3FC1CD87" w:rsidR="00E8265B" w:rsidRDefault="00A253AD" w:rsidP="00DE0A3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D391F">
        <w:rPr>
          <w:rFonts w:ascii="Arial" w:hAnsi="Arial" w:cs="Arial"/>
          <w:sz w:val="20"/>
          <w:szCs w:val="20"/>
        </w:rPr>
        <w:t xml:space="preserve">On 31 July 2024 </w:t>
      </w:r>
      <w:r w:rsidR="00530831" w:rsidRPr="002D391F">
        <w:rPr>
          <w:rFonts w:ascii="Arial" w:hAnsi="Arial" w:cs="Arial"/>
          <w:sz w:val="20"/>
          <w:szCs w:val="20"/>
        </w:rPr>
        <w:t>a</w:t>
      </w:r>
      <w:r w:rsidR="00AA259D" w:rsidRPr="002D391F">
        <w:rPr>
          <w:rFonts w:ascii="Arial" w:hAnsi="Arial" w:cs="Arial"/>
          <w:sz w:val="20"/>
          <w:szCs w:val="20"/>
        </w:rPr>
        <w:t xml:space="preserve"> new beneficial ownership </w:t>
      </w:r>
      <w:r w:rsidR="00013E5C">
        <w:rPr>
          <w:rFonts w:ascii="Arial" w:hAnsi="Arial" w:cs="Arial"/>
          <w:sz w:val="20"/>
          <w:szCs w:val="20"/>
        </w:rPr>
        <w:t xml:space="preserve">reporting </w:t>
      </w:r>
      <w:r w:rsidR="00AA259D" w:rsidRPr="002D391F">
        <w:rPr>
          <w:rFonts w:ascii="Arial" w:hAnsi="Arial" w:cs="Arial"/>
          <w:sz w:val="20"/>
          <w:szCs w:val="20"/>
        </w:rPr>
        <w:t xml:space="preserve">regime </w:t>
      </w:r>
      <w:r w:rsidR="00875F97" w:rsidRPr="002D391F">
        <w:rPr>
          <w:rFonts w:ascii="Arial" w:hAnsi="Arial" w:cs="Arial"/>
          <w:sz w:val="20"/>
          <w:szCs w:val="20"/>
        </w:rPr>
        <w:t>(</w:t>
      </w:r>
      <w:r w:rsidR="00D13A93" w:rsidRPr="002D391F">
        <w:rPr>
          <w:rFonts w:ascii="Arial" w:hAnsi="Arial" w:cs="Arial"/>
          <w:sz w:val="20"/>
          <w:szCs w:val="20"/>
        </w:rPr>
        <w:t xml:space="preserve">the </w:t>
      </w:r>
      <w:r w:rsidR="00980EB0" w:rsidRPr="002D391F">
        <w:rPr>
          <w:rFonts w:ascii="Arial" w:hAnsi="Arial" w:cs="Arial"/>
          <w:sz w:val="20"/>
          <w:szCs w:val="20"/>
        </w:rPr>
        <w:t>“</w:t>
      </w:r>
      <w:r w:rsidR="00875F97" w:rsidRPr="002D391F">
        <w:rPr>
          <w:rFonts w:ascii="Arial" w:hAnsi="Arial" w:cs="Arial"/>
          <w:b/>
          <w:bCs/>
          <w:sz w:val="20"/>
          <w:szCs w:val="20"/>
        </w:rPr>
        <w:t>BO</w:t>
      </w:r>
      <w:r w:rsidR="00013E5C">
        <w:rPr>
          <w:rFonts w:ascii="Arial" w:hAnsi="Arial" w:cs="Arial"/>
          <w:b/>
          <w:bCs/>
          <w:sz w:val="20"/>
          <w:szCs w:val="20"/>
        </w:rPr>
        <w:t>R</w:t>
      </w:r>
      <w:r w:rsidR="00875F97" w:rsidRPr="002D391F">
        <w:rPr>
          <w:rFonts w:ascii="Arial" w:hAnsi="Arial" w:cs="Arial"/>
          <w:b/>
          <w:bCs/>
          <w:sz w:val="20"/>
          <w:szCs w:val="20"/>
        </w:rPr>
        <w:t>R</w:t>
      </w:r>
      <w:r w:rsidR="00980EB0" w:rsidRPr="002D391F">
        <w:rPr>
          <w:rFonts w:ascii="Arial" w:hAnsi="Arial" w:cs="Arial"/>
          <w:sz w:val="20"/>
          <w:szCs w:val="20"/>
        </w:rPr>
        <w:t>”</w:t>
      </w:r>
      <w:r w:rsidR="00875F97" w:rsidRPr="002D391F">
        <w:rPr>
          <w:rFonts w:ascii="Arial" w:hAnsi="Arial" w:cs="Arial"/>
          <w:sz w:val="20"/>
          <w:szCs w:val="20"/>
        </w:rPr>
        <w:t xml:space="preserve">) </w:t>
      </w:r>
      <w:r w:rsidRPr="002D391F">
        <w:rPr>
          <w:rFonts w:ascii="Arial" w:hAnsi="Arial" w:cs="Arial"/>
          <w:sz w:val="20"/>
          <w:szCs w:val="20"/>
        </w:rPr>
        <w:t>came into force</w:t>
      </w:r>
      <w:r w:rsidR="00542547">
        <w:rPr>
          <w:rFonts w:ascii="Arial" w:hAnsi="Arial" w:cs="Arial"/>
          <w:sz w:val="20"/>
          <w:szCs w:val="20"/>
        </w:rPr>
        <w:t xml:space="preserve"> </w:t>
      </w:r>
      <w:r w:rsidR="007519A7">
        <w:rPr>
          <w:rFonts w:ascii="Arial" w:hAnsi="Arial" w:cs="Arial"/>
          <w:sz w:val="20"/>
          <w:szCs w:val="20"/>
        </w:rPr>
        <w:t>in</w:t>
      </w:r>
      <w:r w:rsidR="00542547" w:rsidRPr="002D391F">
        <w:rPr>
          <w:rFonts w:ascii="Arial" w:hAnsi="Arial" w:cs="Arial"/>
          <w:sz w:val="20"/>
          <w:szCs w:val="20"/>
        </w:rPr>
        <w:t xml:space="preserve"> the Cayman Islands</w:t>
      </w:r>
      <w:r w:rsidR="00951E50">
        <w:rPr>
          <w:rFonts w:ascii="Arial" w:hAnsi="Arial" w:cs="Arial"/>
          <w:sz w:val="20"/>
          <w:szCs w:val="20"/>
        </w:rPr>
        <w:t>, as constituted by the</w:t>
      </w:r>
      <w:r w:rsidR="00951E50" w:rsidRPr="00951E50">
        <w:rPr>
          <w:rFonts w:ascii="Arial" w:hAnsi="Arial" w:cs="Arial"/>
          <w:i/>
          <w:iCs/>
          <w:sz w:val="20"/>
          <w:szCs w:val="20"/>
        </w:rPr>
        <w:t xml:space="preserve"> Beneficial Ownership Transparency Act 2023</w:t>
      </w:r>
      <w:r w:rsidR="00951E50" w:rsidRPr="002D391F">
        <w:rPr>
          <w:rFonts w:ascii="Arial" w:hAnsi="Arial" w:cs="Arial"/>
          <w:sz w:val="20"/>
          <w:szCs w:val="20"/>
        </w:rPr>
        <w:t xml:space="preserve"> (the “</w:t>
      </w:r>
      <w:r w:rsidR="00951E50" w:rsidRPr="002D391F">
        <w:rPr>
          <w:rFonts w:ascii="Arial" w:hAnsi="Arial" w:cs="Arial"/>
          <w:b/>
          <w:bCs/>
          <w:sz w:val="20"/>
          <w:szCs w:val="20"/>
        </w:rPr>
        <w:t>BOTA</w:t>
      </w:r>
      <w:r w:rsidR="00951E50" w:rsidRPr="002D391F">
        <w:rPr>
          <w:rFonts w:ascii="Arial" w:hAnsi="Arial" w:cs="Arial"/>
          <w:sz w:val="20"/>
          <w:szCs w:val="20"/>
        </w:rPr>
        <w:t>”)</w:t>
      </w:r>
      <w:r w:rsidR="00951E50">
        <w:rPr>
          <w:rFonts w:ascii="Arial" w:hAnsi="Arial" w:cs="Arial"/>
          <w:sz w:val="20"/>
          <w:szCs w:val="20"/>
        </w:rPr>
        <w:t xml:space="preserve"> and the associated </w:t>
      </w:r>
      <w:r w:rsidR="00951E50" w:rsidRPr="00951E50">
        <w:rPr>
          <w:rFonts w:ascii="Arial" w:hAnsi="Arial" w:cs="Arial"/>
          <w:i/>
          <w:iCs/>
          <w:sz w:val="20"/>
          <w:szCs w:val="20"/>
        </w:rPr>
        <w:t>Beneficial Ownership Transparency Regulations, 2024</w:t>
      </w:r>
      <w:r w:rsidR="004A1E8A" w:rsidRPr="002D391F">
        <w:rPr>
          <w:rFonts w:ascii="Arial" w:hAnsi="Arial" w:cs="Arial"/>
          <w:sz w:val="20"/>
          <w:szCs w:val="20"/>
        </w:rPr>
        <w:t>. The BO</w:t>
      </w:r>
      <w:r w:rsidR="00951E50">
        <w:rPr>
          <w:rFonts w:ascii="Arial" w:hAnsi="Arial" w:cs="Arial"/>
          <w:sz w:val="20"/>
          <w:szCs w:val="20"/>
        </w:rPr>
        <w:t xml:space="preserve">TA </w:t>
      </w:r>
      <w:r w:rsidR="0021086D" w:rsidRPr="002D391F">
        <w:rPr>
          <w:rFonts w:ascii="Arial" w:hAnsi="Arial" w:cs="Arial"/>
          <w:sz w:val="20"/>
          <w:szCs w:val="20"/>
        </w:rPr>
        <w:t>ma</w:t>
      </w:r>
      <w:r w:rsidR="00951E50">
        <w:rPr>
          <w:rFonts w:ascii="Arial" w:hAnsi="Arial" w:cs="Arial"/>
          <w:sz w:val="20"/>
          <w:szCs w:val="20"/>
        </w:rPr>
        <w:t>kes</w:t>
      </w:r>
      <w:r w:rsidR="0021086D" w:rsidRPr="002D391F">
        <w:rPr>
          <w:rFonts w:ascii="Arial" w:hAnsi="Arial" w:cs="Arial"/>
          <w:sz w:val="20"/>
          <w:szCs w:val="20"/>
        </w:rPr>
        <w:t xml:space="preserve"> a number of changes to the previous beneficial ownership </w:t>
      </w:r>
      <w:r w:rsidR="00237CCD">
        <w:rPr>
          <w:rFonts w:ascii="Arial" w:hAnsi="Arial" w:cs="Arial"/>
          <w:sz w:val="20"/>
          <w:szCs w:val="20"/>
        </w:rPr>
        <w:t xml:space="preserve">reporting </w:t>
      </w:r>
      <w:r w:rsidR="0021086D" w:rsidRPr="002D391F">
        <w:rPr>
          <w:rFonts w:ascii="Arial" w:hAnsi="Arial" w:cs="Arial"/>
          <w:sz w:val="20"/>
          <w:szCs w:val="20"/>
        </w:rPr>
        <w:t>regime</w:t>
      </w:r>
      <w:r w:rsidR="00542547">
        <w:rPr>
          <w:rFonts w:ascii="Arial" w:hAnsi="Arial" w:cs="Arial"/>
          <w:sz w:val="20"/>
          <w:szCs w:val="20"/>
        </w:rPr>
        <w:t xml:space="preserve"> and</w:t>
      </w:r>
      <w:r w:rsidR="0052389B" w:rsidRPr="002D391F">
        <w:rPr>
          <w:rFonts w:ascii="Arial" w:hAnsi="Arial" w:cs="Arial"/>
          <w:sz w:val="20"/>
          <w:szCs w:val="20"/>
        </w:rPr>
        <w:t xml:space="preserve"> </w:t>
      </w:r>
      <w:r w:rsidR="00530831" w:rsidRPr="002D391F">
        <w:rPr>
          <w:rFonts w:ascii="Arial" w:hAnsi="Arial" w:cs="Arial"/>
          <w:sz w:val="20"/>
          <w:szCs w:val="20"/>
        </w:rPr>
        <w:t>consolidat</w:t>
      </w:r>
      <w:r w:rsidR="00542547">
        <w:rPr>
          <w:rFonts w:ascii="Arial" w:hAnsi="Arial" w:cs="Arial"/>
          <w:sz w:val="20"/>
          <w:szCs w:val="20"/>
        </w:rPr>
        <w:t>e</w:t>
      </w:r>
      <w:r w:rsidR="00951E50">
        <w:rPr>
          <w:rFonts w:ascii="Arial" w:hAnsi="Arial" w:cs="Arial"/>
          <w:sz w:val="20"/>
          <w:szCs w:val="20"/>
        </w:rPr>
        <w:t xml:space="preserve">s </w:t>
      </w:r>
      <w:r w:rsidR="006F4E8C">
        <w:rPr>
          <w:rFonts w:ascii="Arial" w:hAnsi="Arial" w:cs="Arial"/>
          <w:sz w:val="20"/>
          <w:szCs w:val="20"/>
        </w:rPr>
        <w:t xml:space="preserve">into one act what were previously separate pieces of </w:t>
      </w:r>
      <w:r w:rsidR="00F94948" w:rsidRPr="002D391F">
        <w:rPr>
          <w:rFonts w:ascii="Arial" w:hAnsi="Arial" w:cs="Arial"/>
          <w:sz w:val="20"/>
          <w:szCs w:val="20"/>
        </w:rPr>
        <w:t>entity-specific legislation</w:t>
      </w:r>
      <w:r w:rsidR="00DE4EF9">
        <w:rPr>
          <w:rFonts w:ascii="Arial" w:hAnsi="Arial" w:cs="Arial"/>
          <w:sz w:val="20"/>
          <w:szCs w:val="20"/>
        </w:rPr>
        <w:t>.</w:t>
      </w:r>
      <w:r w:rsidR="00713154" w:rsidRPr="002D391F">
        <w:rPr>
          <w:rFonts w:ascii="Arial" w:hAnsi="Arial" w:cs="Arial"/>
          <w:sz w:val="20"/>
          <w:szCs w:val="20"/>
        </w:rPr>
        <w:t xml:space="preserve"> </w:t>
      </w:r>
      <w:r w:rsidR="00A747CB" w:rsidRPr="002D391F">
        <w:rPr>
          <w:rFonts w:ascii="Arial" w:hAnsi="Arial" w:cs="Arial"/>
          <w:sz w:val="20"/>
          <w:szCs w:val="20"/>
        </w:rPr>
        <w:t xml:space="preserve"> </w:t>
      </w:r>
    </w:p>
    <w:p w14:paraId="369FD138" w14:textId="4C258825" w:rsidR="00D5723E" w:rsidRPr="002D391F" w:rsidRDefault="00217D2C" w:rsidP="00DE0A3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="00486384">
        <w:rPr>
          <w:rFonts w:ascii="Arial" w:hAnsi="Arial" w:cs="Arial"/>
          <w:sz w:val="20"/>
          <w:szCs w:val="20"/>
        </w:rPr>
        <w:t xml:space="preserve">uidance issued by the </w:t>
      </w:r>
      <w:r w:rsidR="00876C27">
        <w:rPr>
          <w:rFonts w:ascii="Arial" w:hAnsi="Arial" w:cs="Arial"/>
          <w:sz w:val="20"/>
          <w:szCs w:val="20"/>
        </w:rPr>
        <w:t xml:space="preserve">Cayman Islands </w:t>
      </w:r>
      <w:r w:rsidR="006507CB" w:rsidRPr="002D391F">
        <w:rPr>
          <w:rFonts w:ascii="Arial" w:hAnsi="Arial" w:cs="Arial"/>
          <w:sz w:val="20"/>
          <w:szCs w:val="20"/>
        </w:rPr>
        <w:t xml:space="preserve">Ministry </w:t>
      </w:r>
      <w:r w:rsidR="00886F2C" w:rsidRPr="002D391F">
        <w:rPr>
          <w:rFonts w:ascii="Arial" w:hAnsi="Arial" w:cs="Arial"/>
          <w:sz w:val="20"/>
          <w:szCs w:val="20"/>
        </w:rPr>
        <w:t>of Financial Services and Commerce</w:t>
      </w:r>
      <w:r w:rsidR="001E2849" w:rsidRPr="002D391F">
        <w:rPr>
          <w:rFonts w:ascii="Arial" w:hAnsi="Arial" w:cs="Arial"/>
          <w:sz w:val="20"/>
          <w:szCs w:val="20"/>
        </w:rPr>
        <w:t xml:space="preserve"> (the </w:t>
      </w:r>
      <w:r w:rsidR="00980EB0" w:rsidRPr="002D391F">
        <w:rPr>
          <w:rFonts w:ascii="Arial" w:hAnsi="Arial" w:cs="Arial"/>
          <w:sz w:val="20"/>
          <w:szCs w:val="20"/>
        </w:rPr>
        <w:t>“</w:t>
      </w:r>
      <w:r w:rsidR="001E2849" w:rsidRPr="002D391F">
        <w:rPr>
          <w:rFonts w:ascii="Arial" w:hAnsi="Arial" w:cs="Arial"/>
          <w:b/>
          <w:bCs/>
          <w:sz w:val="20"/>
          <w:szCs w:val="20"/>
        </w:rPr>
        <w:t>Ministry</w:t>
      </w:r>
      <w:r w:rsidR="00980EB0" w:rsidRPr="002D391F">
        <w:rPr>
          <w:rFonts w:ascii="Arial" w:hAnsi="Arial" w:cs="Arial"/>
          <w:sz w:val="20"/>
          <w:szCs w:val="20"/>
        </w:rPr>
        <w:t>”</w:t>
      </w:r>
      <w:r w:rsidR="001E2849" w:rsidRPr="002D391F">
        <w:rPr>
          <w:rFonts w:ascii="Arial" w:hAnsi="Arial" w:cs="Arial"/>
          <w:sz w:val="20"/>
          <w:szCs w:val="20"/>
        </w:rPr>
        <w:t>)</w:t>
      </w:r>
      <w:r w:rsidR="00886F2C" w:rsidRPr="002D391F">
        <w:rPr>
          <w:rFonts w:ascii="Arial" w:hAnsi="Arial" w:cs="Arial"/>
          <w:sz w:val="20"/>
          <w:szCs w:val="20"/>
        </w:rPr>
        <w:t xml:space="preserve"> </w:t>
      </w:r>
      <w:r w:rsidR="000F6EDA">
        <w:rPr>
          <w:rFonts w:ascii="Arial" w:hAnsi="Arial" w:cs="Arial"/>
          <w:sz w:val="20"/>
          <w:szCs w:val="20"/>
        </w:rPr>
        <w:t>provides</w:t>
      </w:r>
      <w:r w:rsidR="00A01864">
        <w:rPr>
          <w:rFonts w:ascii="Arial" w:hAnsi="Arial" w:cs="Arial"/>
          <w:sz w:val="20"/>
          <w:szCs w:val="20"/>
        </w:rPr>
        <w:t xml:space="preserve"> that </w:t>
      </w:r>
      <w:r w:rsidR="00247970" w:rsidRPr="002D391F">
        <w:rPr>
          <w:rFonts w:ascii="Arial" w:hAnsi="Arial" w:cs="Arial"/>
          <w:sz w:val="20"/>
          <w:szCs w:val="20"/>
        </w:rPr>
        <w:t>c</w:t>
      </w:r>
      <w:r w:rsidR="003D6B18" w:rsidRPr="002D391F">
        <w:rPr>
          <w:rFonts w:ascii="Arial" w:hAnsi="Arial" w:cs="Arial"/>
          <w:sz w:val="20"/>
          <w:szCs w:val="20"/>
        </w:rPr>
        <w:t xml:space="preserve">ompliance with the </w:t>
      </w:r>
      <w:r w:rsidR="00A01864">
        <w:rPr>
          <w:rFonts w:ascii="Arial" w:hAnsi="Arial" w:cs="Arial"/>
          <w:sz w:val="20"/>
          <w:szCs w:val="20"/>
        </w:rPr>
        <w:t xml:space="preserve">new elements of the </w:t>
      </w:r>
      <w:r w:rsidR="00DE4EF9">
        <w:rPr>
          <w:rFonts w:ascii="Arial" w:hAnsi="Arial" w:cs="Arial"/>
          <w:sz w:val="20"/>
          <w:szCs w:val="20"/>
        </w:rPr>
        <w:t xml:space="preserve">BORR </w:t>
      </w:r>
      <w:r w:rsidR="003D6B18" w:rsidRPr="002D391F">
        <w:rPr>
          <w:rFonts w:ascii="Arial" w:hAnsi="Arial" w:cs="Arial"/>
          <w:sz w:val="20"/>
          <w:szCs w:val="20"/>
        </w:rPr>
        <w:t xml:space="preserve">is required </w:t>
      </w:r>
      <w:r w:rsidR="00542547">
        <w:rPr>
          <w:rFonts w:ascii="Arial" w:hAnsi="Arial" w:cs="Arial"/>
          <w:sz w:val="20"/>
          <w:szCs w:val="20"/>
        </w:rPr>
        <w:t xml:space="preserve">by </w:t>
      </w:r>
      <w:r w:rsidR="002F5800" w:rsidRPr="002D391F">
        <w:rPr>
          <w:rFonts w:ascii="Arial" w:hAnsi="Arial" w:cs="Arial"/>
          <w:sz w:val="20"/>
          <w:szCs w:val="20"/>
        </w:rPr>
        <w:t>1 January 2025.</w:t>
      </w:r>
      <w:r w:rsidR="004E6711" w:rsidRPr="002D391F">
        <w:rPr>
          <w:rFonts w:ascii="Arial" w:hAnsi="Arial" w:cs="Arial"/>
          <w:sz w:val="20"/>
          <w:szCs w:val="20"/>
        </w:rPr>
        <w:t xml:space="preserve"> </w:t>
      </w:r>
    </w:p>
    <w:p w14:paraId="7A4BA11F" w14:textId="22EF910A" w:rsidR="00932AAF" w:rsidRPr="002D391F" w:rsidRDefault="00932AAF" w:rsidP="00932AAF">
      <w:pPr>
        <w:spacing w:before="120" w:after="120"/>
        <w:rPr>
          <w:rFonts w:ascii="Arial" w:eastAsia="Arial" w:hAnsi="Arial" w:cs="Arial"/>
          <w:b/>
          <w:bCs/>
          <w:color w:val="0070C0"/>
          <w:kern w:val="0"/>
          <w14:ligatures w14:val="none"/>
        </w:rPr>
      </w:pPr>
      <w:r w:rsidRPr="002D391F">
        <w:rPr>
          <w:rFonts w:ascii="Arial" w:eastAsia="Arial" w:hAnsi="Arial" w:cs="Arial"/>
          <w:b/>
          <w:bCs/>
          <w:color w:val="0070C0"/>
          <w:kern w:val="0"/>
          <w14:ligatures w14:val="none"/>
        </w:rPr>
        <w:t>Key Points to Note</w:t>
      </w:r>
    </w:p>
    <w:p w14:paraId="1932B73E" w14:textId="3EAF5D8A" w:rsidR="00601C56" w:rsidRPr="002D391F" w:rsidRDefault="00736A4D" w:rsidP="001A37BA">
      <w:pPr>
        <w:pStyle w:val="ListParagraph"/>
        <w:numPr>
          <w:ilvl w:val="0"/>
          <w:numId w:val="1"/>
        </w:numPr>
        <w:spacing w:before="120" w:after="120"/>
        <w:ind w:left="1440" w:hanging="720"/>
        <w:contextualSpacing w:val="0"/>
        <w:jc w:val="both"/>
        <w:rPr>
          <w:rFonts w:ascii="Arial" w:hAnsi="Arial" w:cs="Arial"/>
          <w:sz w:val="20"/>
          <w:szCs w:val="20"/>
        </w:rPr>
      </w:pPr>
      <w:r w:rsidRPr="002D391F">
        <w:rPr>
          <w:rFonts w:ascii="Arial" w:hAnsi="Arial" w:cs="Arial"/>
          <w:b/>
          <w:bCs/>
          <w:sz w:val="20"/>
          <w:szCs w:val="20"/>
        </w:rPr>
        <w:t xml:space="preserve">Wider </w:t>
      </w:r>
      <w:r w:rsidR="005656B1">
        <w:rPr>
          <w:rFonts w:ascii="Arial" w:hAnsi="Arial" w:cs="Arial"/>
          <w:b/>
          <w:bCs/>
          <w:sz w:val="20"/>
          <w:szCs w:val="20"/>
        </w:rPr>
        <w:t>s</w:t>
      </w:r>
      <w:r w:rsidR="00F866BE" w:rsidRPr="002D391F">
        <w:rPr>
          <w:rFonts w:ascii="Arial" w:hAnsi="Arial" w:cs="Arial"/>
          <w:b/>
          <w:bCs/>
          <w:sz w:val="20"/>
          <w:szCs w:val="20"/>
        </w:rPr>
        <w:t>cope</w:t>
      </w:r>
      <w:r w:rsidR="00F866BE" w:rsidRPr="002D391F">
        <w:rPr>
          <w:rFonts w:ascii="Arial" w:hAnsi="Arial" w:cs="Arial"/>
          <w:sz w:val="20"/>
          <w:szCs w:val="20"/>
        </w:rPr>
        <w:t xml:space="preserve"> </w:t>
      </w:r>
      <w:r w:rsidR="00710DAA" w:rsidRPr="002D391F">
        <w:rPr>
          <w:rFonts w:ascii="Arial" w:hAnsi="Arial" w:cs="Arial"/>
          <w:sz w:val="20"/>
          <w:szCs w:val="20"/>
        </w:rPr>
        <w:t>–</w:t>
      </w:r>
      <w:r w:rsidRPr="002D391F">
        <w:rPr>
          <w:rFonts w:ascii="Arial" w:hAnsi="Arial" w:cs="Arial"/>
          <w:sz w:val="20"/>
          <w:szCs w:val="20"/>
        </w:rPr>
        <w:t xml:space="preserve"> </w:t>
      </w:r>
      <w:r w:rsidR="00417808" w:rsidRPr="002D391F">
        <w:rPr>
          <w:rFonts w:ascii="Arial" w:hAnsi="Arial" w:cs="Arial"/>
          <w:sz w:val="20"/>
          <w:szCs w:val="20"/>
        </w:rPr>
        <w:t>a w</w:t>
      </w:r>
      <w:r w:rsidR="0010286F" w:rsidRPr="002D391F">
        <w:rPr>
          <w:rFonts w:ascii="Arial" w:hAnsi="Arial" w:cs="Arial"/>
          <w:sz w:val="20"/>
          <w:szCs w:val="20"/>
        </w:rPr>
        <w:t>ider range of entities are</w:t>
      </w:r>
      <w:r w:rsidR="00417808" w:rsidRPr="002D391F">
        <w:rPr>
          <w:rFonts w:ascii="Arial" w:hAnsi="Arial" w:cs="Arial"/>
          <w:sz w:val="20"/>
          <w:szCs w:val="20"/>
        </w:rPr>
        <w:t xml:space="preserve"> </w:t>
      </w:r>
      <w:r w:rsidR="00F25B84" w:rsidRPr="002D391F">
        <w:rPr>
          <w:rFonts w:ascii="Arial" w:hAnsi="Arial" w:cs="Arial"/>
          <w:sz w:val="20"/>
          <w:szCs w:val="20"/>
        </w:rPr>
        <w:t>within the scope</w:t>
      </w:r>
      <w:r w:rsidR="00875F97" w:rsidRPr="002D391F">
        <w:rPr>
          <w:rFonts w:ascii="Arial" w:hAnsi="Arial" w:cs="Arial"/>
          <w:sz w:val="20"/>
          <w:szCs w:val="20"/>
        </w:rPr>
        <w:t xml:space="preserve"> of the</w:t>
      </w:r>
      <w:r w:rsidR="008C0DB5" w:rsidRPr="002D391F">
        <w:rPr>
          <w:rFonts w:ascii="Arial" w:hAnsi="Arial" w:cs="Arial"/>
          <w:sz w:val="20"/>
          <w:szCs w:val="20"/>
        </w:rPr>
        <w:t xml:space="preserve"> </w:t>
      </w:r>
      <w:r w:rsidR="006F4E8C">
        <w:rPr>
          <w:rFonts w:ascii="Arial" w:hAnsi="Arial" w:cs="Arial"/>
          <w:sz w:val="20"/>
          <w:szCs w:val="20"/>
        </w:rPr>
        <w:t>obligation to maintain and file a beneficial ownership register (</w:t>
      </w:r>
      <w:r w:rsidR="009A63C4">
        <w:rPr>
          <w:rFonts w:ascii="Arial" w:hAnsi="Arial" w:cs="Arial"/>
          <w:sz w:val="20"/>
          <w:szCs w:val="20"/>
        </w:rPr>
        <w:t>“</w:t>
      </w:r>
      <w:r w:rsidR="006F4E8C" w:rsidRPr="006F4E8C">
        <w:rPr>
          <w:rFonts w:ascii="Arial" w:hAnsi="Arial" w:cs="Arial"/>
          <w:b/>
          <w:bCs/>
          <w:sz w:val="20"/>
          <w:szCs w:val="20"/>
        </w:rPr>
        <w:t>BOR</w:t>
      </w:r>
      <w:r w:rsidR="009A63C4" w:rsidRPr="0089170C">
        <w:rPr>
          <w:rFonts w:ascii="Arial" w:hAnsi="Arial" w:cs="Arial"/>
          <w:sz w:val="20"/>
          <w:szCs w:val="20"/>
        </w:rPr>
        <w:t>”</w:t>
      </w:r>
      <w:r w:rsidR="006F4E8C">
        <w:rPr>
          <w:rFonts w:ascii="Arial" w:hAnsi="Arial" w:cs="Arial"/>
          <w:sz w:val="20"/>
          <w:szCs w:val="20"/>
        </w:rPr>
        <w:t xml:space="preserve">) </w:t>
      </w:r>
      <w:r w:rsidR="008C0DB5" w:rsidRPr="002D391F">
        <w:rPr>
          <w:rFonts w:ascii="Arial" w:hAnsi="Arial" w:cs="Arial"/>
          <w:sz w:val="20"/>
          <w:szCs w:val="20"/>
        </w:rPr>
        <w:t>than</w:t>
      </w:r>
      <w:r w:rsidR="00F2671E" w:rsidRPr="002D391F">
        <w:rPr>
          <w:rFonts w:ascii="Arial" w:hAnsi="Arial" w:cs="Arial"/>
          <w:sz w:val="20"/>
          <w:szCs w:val="20"/>
        </w:rPr>
        <w:t xml:space="preserve"> under the previous regime</w:t>
      </w:r>
      <w:r w:rsidR="00417808" w:rsidRPr="002D391F">
        <w:rPr>
          <w:rFonts w:ascii="Arial" w:hAnsi="Arial" w:cs="Arial"/>
          <w:sz w:val="20"/>
          <w:szCs w:val="20"/>
        </w:rPr>
        <w:t>.</w:t>
      </w:r>
      <w:r w:rsidR="00762991" w:rsidRPr="002D391F">
        <w:rPr>
          <w:rFonts w:ascii="Arial" w:hAnsi="Arial" w:cs="Arial"/>
          <w:sz w:val="20"/>
          <w:szCs w:val="20"/>
        </w:rPr>
        <w:t xml:space="preserve"> </w:t>
      </w:r>
    </w:p>
    <w:p w14:paraId="18B31C39" w14:textId="2D0E3501" w:rsidR="001509AD" w:rsidRPr="002D391F" w:rsidRDefault="00F866BE" w:rsidP="001A37BA">
      <w:pPr>
        <w:pStyle w:val="ListParagraph"/>
        <w:numPr>
          <w:ilvl w:val="0"/>
          <w:numId w:val="1"/>
        </w:numPr>
        <w:spacing w:before="120" w:after="120"/>
        <w:ind w:left="1440" w:hanging="72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</w:t>
      </w:r>
      <w:r w:rsidRPr="002D391F">
        <w:rPr>
          <w:rFonts w:ascii="Arial" w:hAnsi="Arial" w:cs="Arial"/>
          <w:b/>
          <w:bCs/>
          <w:sz w:val="20"/>
          <w:szCs w:val="20"/>
        </w:rPr>
        <w:t xml:space="preserve">lternative </w:t>
      </w:r>
      <w:r w:rsidR="005656B1" w:rsidRPr="002D391F">
        <w:rPr>
          <w:rFonts w:ascii="Arial" w:hAnsi="Arial" w:cs="Arial"/>
          <w:b/>
          <w:bCs/>
          <w:sz w:val="20"/>
          <w:szCs w:val="20"/>
        </w:rPr>
        <w:t>route to compliance</w:t>
      </w:r>
      <w:r w:rsidR="005656B1" w:rsidRPr="002D391F">
        <w:rPr>
          <w:rFonts w:ascii="Arial" w:hAnsi="Arial" w:cs="Arial"/>
          <w:sz w:val="20"/>
          <w:szCs w:val="20"/>
        </w:rPr>
        <w:t xml:space="preserve"> </w:t>
      </w:r>
      <w:r w:rsidR="00A74A11" w:rsidRPr="002D391F">
        <w:rPr>
          <w:rFonts w:ascii="Arial" w:hAnsi="Arial" w:cs="Arial"/>
          <w:sz w:val="20"/>
          <w:szCs w:val="20"/>
        </w:rPr>
        <w:t>–</w:t>
      </w:r>
      <w:r w:rsidR="00A74A11" w:rsidRPr="002D391F">
        <w:rPr>
          <w:rFonts w:ascii="Arial" w:hAnsi="Arial" w:cs="Arial"/>
          <w:b/>
          <w:bCs/>
          <w:sz w:val="20"/>
          <w:szCs w:val="20"/>
        </w:rPr>
        <w:t xml:space="preserve"> </w:t>
      </w:r>
      <w:r w:rsidR="006F4E8C" w:rsidRPr="006F4E8C">
        <w:rPr>
          <w:rFonts w:ascii="Arial" w:hAnsi="Arial" w:cs="Arial"/>
          <w:sz w:val="20"/>
          <w:szCs w:val="20"/>
        </w:rPr>
        <w:t>a number of</w:t>
      </w:r>
      <w:r w:rsidR="006F4E8C">
        <w:rPr>
          <w:rFonts w:ascii="Arial" w:hAnsi="Arial" w:cs="Arial"/>
          <w:b/>
          <w:bCs/>
          <w:sz w:val="20"/>
          <w:szCs w:val="20"/>
        </w:rPr>
        <w:t xml:space="preserve"> </w:t>
      </w:r>
      <w:r w:rsidR="00E64DEF" w:rsidRPr="002D391F">
        <w:rPr>
          <w:rFonts w:ascii="Arial" w:hAnsi="Arial" w:cs="Arial"/>
          <w:sz w:val="20"/>
          <w:szCs w:val="20"/>
        </w:rPr>
        <w:t>the exemptions</w:t>
      </w:r>
      <w:r w:rsidR="00E64DEF">
        <w:rPr>
          <w:rFonts w:ascii="Arial" w:hAnsi="Arial" w:cs="Arial"/>
          <w:sz w:val="20"/>
          <w:szCs w:val="20"/>
        </w:rPr>
        <w:t xml:space="preserve"> from </w:t>
      </w:r>
      <w:r w:rsidR="006F4E8C">
        <w:rPr>
          <w:rFonts w:ascii="Arial" w:hAnsi="Arial" w:cs="Arial"/>
          <w:sz w:val="20"/>
          <w:szCs w:val="20"/>
        </w:rPr>
        <w:t xml:space="preserve">the obligation to maintain and file a BOR </w:t>
      </w:r>
      <w:r w:rsidR="00E64DEF" w:rsidRPr="002D391F">
        <w:rPr>
          <w:rFonts w:ascii="Arial" w:hAnsi="Arial" w:cs="Arial"/>
          <w:sz w:val="20"/>
          <w:szCs w:val="20"/>
        </w:rPr>
        <w:t xml:space="preserve">under the previous regime </w:t>
      </w:r>
      <w:r w:rsidR="00E64DEF">
        <w:rPr>
          <w:rFonts w:ascii="Arial" w:hAnsi="Arial" w:cs="Arial"/>
          <w:sz w:val="20"/>
          <w:szCs w:val="20"/>
        </w:rPr>
        <w:t>do not apply under the BORR</w:t>
      </w:r>
      <w:r w:rsidR="00C64A67">
        <w:rPr>
          <w:rFonts w:ascii="Arial" w:hAnsi="Arial" w:cs="Arial"/>
          <w:sz w:val="20"/>
          <w:szCs w:val="20"/>
        </w:rPr>
        <w:t>, however</w:t>
      </w:r>
      <w:r w:rsidR="0043449B">
        <w:rPr>
          <w:rFonts w:ascii="Arial" w:hAnsi="Arial" w:cs="Arial"/>
          <w:sz w:val="20"/>
          <w:szCs w:val="20"/>
        </w:rPr>
        <w:t>,</w:t>
      </w:r>
      <w:r w:rsidR="00C64A67">
        <w:rPr>
          <w:rFonts w:ascii="Arial" w:hAnsi="Arial" w:cs="Arial"/>
          <w:sz w:val="20"/>
          <w:szCs w:val="20"/>
        </w:rPr>
        <w:t xml:space="preserve"> </w:t>
      </w:r>
      <w:r w:rsidR="0043449B">
        <w:rPr>
          <w:rFonts w:ascii="Arial" w:hAnsi="Arial" w:cs="Arial"/>
          <w:sz w:val="20"/>
          <w:szCs w:val="20"/>
        </w:rPr>
        <w:t xml:space="preserve">in relation to the exemption lost by Cayman Islands investments funds, </w:t>
      </w:r>
      <w:r w:rsidR="00906D1E" w:rsidRPr="002D391F">
        <w:rPr>
          <w:rFonts w:ascii="Arial" w:hAnsi="Arial" w:cs="Arial"/>
          <w:sz w:val="20"/>
          <w:szCs w:val="20"/>
        </w:rPr>
        <w:t xml:space="preserve">an alternative route to compliance </w:t>
      </w:r>
      <w:r w:rsidR="0043449B">
        <w:rPr>
          <w:rFonts w:ascii="Arial" w:hAnsi="Arial" w:cs="Arial"/>
          <w:sz w:val="20"/>
          <w:szCs w:val="20"/>
        </w:rPr>
        <w:t xml:space="preserve">is available, whereby a fund </w:t>
      </w:r>
      <w:r w:rsidR="00B44070" w:rsidRPr="002D391F">
        <w:rPr>
          <w:rFonts w:ascii="Arial" w:hAnsi="Arial" w:cs="Arial"/>
          <w:sz w:val="20"/>
          <w:szCs w:val="20"/>
        </w:rPr>
        <w:t xml:space="preserve">may elect to appoint a </w:t>
      </w:r>
      <w:r w:rsidR="00656F72" w:rsidRPr="002D391F">
        <w:rPr>
          <w:rFonts w:ascii="Arial" w:hAnsi="Arial" w:cs="Arial"/>
          <w:sz w:val="20"/>
          <w:szCs w:val="20"/>
        </w:rPr>
        <w:t>“</w:t>
      </w:r>
      <w:r w:rsidR="00B44070" w:rsidRPr="002D391F">
        <w:rPr>
          <w:rFonts w:ascii="Arial" w:hAnsi="Arial" w:cs="Arial"/>
          <w:sz w:val="20"/>
          <w:szCs w:val="20"/>
        </w:rPr>
        <w:t>contact person</w:t>
      </w:r>
      <w:r w:rsidR="00656F72" w:rsidRPr="002D391F">
        <w:rPr>
          <w:rFonts w:ascii="Arial" w:hAnsi="Arial" w:cs="Arial"/>
          <w:sz w:val="20"/>
          <w:szCs w:val="20"/>
        </w:rPr>
        <w:t xml:space="preserve">” </w:t>
      </w:r>
      <w:r w:rsidR="00B44070" w:rsidRPr="002D391F">
        <w:rPr>
          <w:rFonts w:ascii="Arial" w:hAnsi="Arial" w:cs="Arial"/>
          <w:sz w:val="20"/>
          <w:szCs w:val="20"/>
        </w:rPr>
        <w:t>rather than</w:t>
      </w:r>
      <w:r w:rsidR="00656F72" w:rsidRPr="002D391F">
        <w:rPr>
          <w:rFonts w:ascii="Arial" w:hAnsi="Arial" w:cs="Arial"/>
          <w:sz w:val="20"/>
          <w:szCs w:val="20"/>
        </w:rPr>
        <w:t xml:space="preserve"> establish and maintain a beneficial ownership register</w:t>
      </w:r>
      <w:r w:rsidR="00906D1E" w:rsidRPr="002D391F">
        <w:rPr>
          <w:rFonts w:ascii="Arial" w:hAnsi="Arial" w:cs="Arial"/>
          <w:sz w:val="20"/>
          <w:szCs w:val="20"/>
        </w:rPr>
        <w:t>.</w:t>
      </w:r>
      <w:r w:rsidR="005F364C" w:rsidRPr="002D391F">
        <w:rPr>
          <w:rFonts w:ascii="Arial" w:hAnsi="Arial" w:cs="Arial"/>
          <w:sz w:val="20"/>
          <w:szCs w:val="20"/>
        </w:rPr>
        <w:t xml:space="preserve"> </w:t>
      </w:r>
      <w:r w:rsidR="004B37AE">
        <w:rPr>
          <w:rFonts w:ascii="Arial" w:hAnsi="Arial" w:cs="Arial"/>
          <w:sz w:val="20"/>
          <w:szCs w:val="20"/>
        </w:rPr>
        <w:t xml:space="preserve">Effectively, the previous exemptions in respect of listed entities and CIMA licensees remain. </w:t>
      </w:r>
    </w:p>
    <w:p w14:paraId="1B407243" w14:textId="58F2AE4B" w:rsidR="00DA42BE" w:rsidRPr="002D391F" w:rsidRDefault="004B37AE" w:rsidP="001A37BA">
      <w:pPr>
        <w:pStyle w:val="ListParagraph"/>
        <w:numPr>
          <w:ilvl w:val="0"/>
          <w:numId w:val="1"/>
        </w:numPr>
        <w:spacing w:before="120" w:after="120"/>
        <w:ind w:left="1440" w:hanging="72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173573029"/>
      <w:r>
        <w:rPr>
          <w:rFonts w:ascii="Arial" w:hAnsi="Arial" w:cs="Arial"/>
          <w:b/>
          <w:bCs/>
          <w:sz w:val="20"/>
          <w:szCs w:val="20"/>
        </w:rPr>
        <w:t xml:space="preserve">Additional </w:t>
      </w:r>
      <w:r w:rsidR="005656B1" w:rsidRPr="002D391F">
        <w:rPr>
          <w:rFonts w:ascii="Arial" w:hAnsi="Arial" w:cs="Arial"/>
          <w:b/>
          <w:bCs/>
          <w:sz w:val="20"/>
          <w:szCs w:val="20"/>
        </w:rPr>
        <w:t>information to be reported</w:t>
      </w:r>
      <w:r w:rsidR="005656B1" w:rsidRPr="002D391F">
        <w:rPr>
          <w:rFonts w:ascii="Arial" w:hAnsi="Arial" w:cs="Arial"/>
          <w:sz w:val="20"/>
          <w:szCs w:val="20"/>
        </w:rPr>
        <w:t xml:space="preserve"> </w:t>
      </w:r>
      <w:bookmarkEnd w:id="0"/>
      <w:r w:rsidR="001509AD" w:rsidRPr="002D391F">
        <w:rPr>
          <w:rFonts w:ascii="Arial" w:hAnsi="Arial" w:cs="Arial"/>
          <w:sz w:val="20"/>
          <w:szCs w:val="20"/>
        </w:rPr>
        <w:t>– the BO</w:t>
      </w:r>
      <w:r w:rsidR="00013E5C">
        <w:rPr>
          <w:rFonts w:ascii="Arial" w:hAnsi="Arial" w:cs="Arial"/>
          <w:sz w:val="20"/>
          <w:szCs w:val="20"/>
        </w:rPr>
        <w:t>R</w:t>
      </w:r>
      <w:r w:rsidR="001509AD" w:rsidRPr="002D391F">
        <w:rPr>
          <w:rFonts w:ascii="Arial" w:hAnsi="Arial" w:cs="Arial"/>
          <w:sz w:val="20"/>
          <w:szCs w:val="20"/>
        </w:rPr>
        <w:t xml:space="preserve">R </w:t>
      </w:r>
      <w:r w:rsidR="00075EA1">
        <w:rPr>
          <w:rFonts w:ascii="Arial" w:hAnsi="Arial" w:cs="Arial"/>
          <w:sz w:val="20"/>
          <w:szCs w:val="20"/>
        </w:rPr>
        <w:t>add</w:t>
      </w:r>
      <w:r w:rsidR="00CF63D9">
        <w:rPr>
          <w:rFonts w:ascii="Arial" w:hAnsi="Arial" w:cs="Arial"/>
          <w:sz w:val="20"/>
          <w:szCs w:val="20"/>
        </w:rPr>
        <w:t>s</w:t>
      </w:r>
      <w:r w:rsidR="00075EA1">
        <w:rPr>
          <w:rFonts w:ascii="Arial" w:hAnsi="Arial" w:cs="Arial"/>
          <w:sz w:val="20"/>
          <w:szCs w:val="20"/>
        </w:rPr>
        <w:t xml:space="preserve"> certain </w:t>
      </w:r>
      <w:r w:rsidR="001509AD" w:rsidRPr="002D391F">
        <w:rPr>
          <w:rFonts w:ascii="Arial" w:hAnsi="Arial" w:cs="Arial"/>
          <w:sz w:val="20"/>
          <w:szCs w:val="20"/>
        </w:rPr>
        <w:t>require</w:t>
      </w:r>
      <w:r w:rsidR="00075EA1">
        <w:rPr>
          <w:rFonts w:ascii="Arial" w:hAnsi="Arial" w:cs="Arial"/>
          <w:sz w:val="20"/>
          <w:szCs w:val="20"/>
        </w:rPr>
        <w:t>d</w:t>
      </w:r>
      <w:r w:rsidR="001509AD" w:rsidRPr="002D391F">
        <w:rPr>
          <w:rFonts w:ascii="Arial" w:hAnsi="Arial" w:cs="Arial"/>
          <w:sz w:val="20"/>
          <w:szCs w:val="20"/>
        </w:rPr>
        <w:t xml:space="preserve"> </w:t>
      </w:r>
      <w:r w:rsidR="00075EA1">
        <w:rPr>
          <w:rFonts w:ascii="Arial" w:hAnsi="Arial" w:cs="Arial"/>
          <w:sz w:val="20"/>
          <w:szCs w:val="20"/>
        </w:rPr>
        <w:t>particulars</w:t>
      </w:r>
      <w:r w:rsidR="001509AD" w:rsidRPr="002D391F">
        <w:rPr>
          <w:rFonts w:ascii="Arial" w:hAnsi="Arial" w:cs="Arial"/>
          <w:sz w:val="20"/>
          <w:szCs w:val="20"/>
        </w:rPr>
        <w:t xml:space="preserve"> regarding beneficial owners which w</w:t>
      </w:r>
      <w:r w:rsidR="00CF63D9">
        <w:rPr>
          <w:rFonts w:ascii="Arial" w:hAnsi="Arial" w:cs="Arial"/>
          <w:sz w:val="20"/>
          <w:szCs w:val="20"/>
        </w:rPr>
        <w:t>ere</w:t>
      </w:r>
      <w:r w:rsidR="001509AD" w:rsidRPr="002D391F">
        <w:rPr>
          <w:rFonts w:ascii="Arial" w:hAnsi="Arial" w:cs="Arial"/>
          <w:sz w:val="20"/>
          <w:szCs w:val="20"/>
        </w:rPr>
        <w:t xml:space="preserve"> not required under the previous regime. </w:t>
      </w:r>
    </w:p>
    <w:p w14:paraId="038A3764" w14:textId="71155135" w:rsidR="00D666F6" w:rsidRDefault="005656B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Each of the</w:t>
      </w:r>
      <w:r w:rsidR="00075EA1">
        <w:rPr>
          <w:rFonts w:ascii="Arial" w:hAnsi="Arial" w:cs="Arial"/>
          <w:sz w:val="20"/>
          <w:szCs w:val="20"/>
        </w:rPr>
        <w:t>se</w:t>
      </w:r>
      <w:r>
        <w:rPr>
          <w:rFonts w:ascii="Arial" w:hAnsi="Arial" w:cs="Arial"/>
          <w:sz w:val="20"/>
          <w:szCs w:val="20"/>
        </w:rPr>
        <w:t xml:space="preserve"> key points are considered in more detail below.</w:t>
      </w:r>
    </w:p>
    <w:p w14:paraId="0FB843E4" w14:textId="6C13B1FD" w:rsidR="00A06E25" w:rsidRPr="002D391F" w:rsidRDefault="00AF6720" w:rsidP="00E432BE">
      <w:pPr>
        <w:pStyle w:val="ListParagraph"/>
        <w:keepNext/>
        <w:keepLines/>
        <w:numPr>
          <w:ilvl w:val="0"/>
          <w:numId w:val="5"/>
        </w:numPr>
        <w:ind w:hanging="720"/>
        <w:jc w:val="both"/>
        <w:rPr>
          <w:rFonts w:ascii="Arial" w:hAnsi="Arial" w:cs="Arial"/>
          <w:b/>
          <w:bCs/>
          <w:color w:val="0070C0"/>
          <w:sz w:val="20"/>
          <w:szCs w:val="20"/>
        </w:rPr>
      </w:pPr>
      <w:r w:rsidRPr="002D391F">
        <w:rPr>
          <w:rFonts w:ascii="Arial" w:hAnsi="Arial" w:cs="Arial"/>
          <w:b/>
          <w:bCs/>
          <w:color w:val="0070C0"/>
          <w:sz w:val="20"/>
          <w:szCs w:val="20"/>
        </w:rPr>
        <w:t xml:space="preserve">Wider </w:t>
      </w:r>
      <w:r w:rsidR="005656B1" w:rsidRPr="002D391F">
        <w:rPr>
          <w:rFonts w:ascii="Arial" w:hAnsi="Arial" w:cs="Arial"/>
          <w:b/>
          <w:bCs/>
          <w:color w:val="0070C0"/>
          <w:sz w:val="20"/>
          <w:szCs w:val="20"/>
        </w:rPr>
        <w:t>scope</w:t>
      </w:r>
    </w:p>
    <w:p w14:paraId="01595BA8" w14:textId="5304284A" w:rsidR="00286B9B" w:rsidRPr="002D391F" w:rsidRDefault="00CD6DB0" w:rsidP="00DE0A3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D391F">
        <w:rPr>
          <w:rFonts w:ascii="Arial" w:hAnsi="Arial" w:cs="Arial"/>
          <w:sz w:val="20"/>
          <w:szCs w:val="20"/>
        </w:rPr>
        <w:t xml:space="preserve">The </w:t>
      </w:r>
      <w:r w:rsidR="00075EA1">
        <w:rPr>
          <w:rFonts w:ascii="Arial" w:hAnsi="Arial" w:cs="Arial"/>
          <w:sz w:val="20"/>
          <w:szCs w:val="20"/>
        </w:rPr>
        <w:t xml:space="preserve">wider scope of </w:t>
      </w:r>
      <w:r w:rsidR="00120986" w:rsidRPr="002D391F">
        <w:rPr>
          <w:rFonts w:ascii="Arial" w:hAnsi="Arial" w:cs="Arial"/>
          <w:sz w:val="20"/>
          <w:szCs w:val="20"/>
        </w:rPr>
        <w:t>BO</w:t>
      </w:r>
      <w:r w:rsidR="00013E5C">
        <w:rPr>
          <w:rFonts w:ascii="Arial" w:hAnsi="Arial" w:cs="Arial"/>
          <w:sz w:val="20"/>
          <w:szCs w:val="20"/>
        </w:rPr>
        <w:t>R</w:t>
      </w:r>
      <w:r w:rsidR="00120986" w:rsidRPr="002D391F">
        <w:rPr>
          <w:rFonts w:ascii="Arial" w:hAnsi="Arial" w:cs="Arial"/>
          <w:sz w:val="20"/>
          <w:szCs w:val="20"/>
        </w:rPr>
        <w:t>R</w:t>
      </w:r>
      <w:r w:rsidR="00EF5C54" w:rsidRPr="002D391F">
        <w:rPr>
          <w:rFonts w:ascii="Arial" w:hAnsi="Arial" w:cs="Arial"/>
          <w:sz w:val="20"/>
          <w:szCs w:val="20"/>
        </w:rPr>
        <w:t xml:space="preserve"> appli</w:t>
      </w:r>
      <w:r w:rsidR="00075EA1">
        <w:rPr>
          <w:rFonts w:ascii="Arial" w:hAnsi="Arial" w:cs="Arial"/>
          <w:sz w:val="20"/>
          <w:szCs w:val="20"/>
        </w:rPr>
        <w:t>cation is a function of (</w:t>
      </w:r>
      <w:proofErr w:type="spellStart"/>
      <w:r w:rsidR="00075EA1">
        <w:rPr>
          <w:rFonts w:ascii="Arial" w:hAnsi="Arial" w:cs="Arial"/>
          <w:sz w:val="20"/>
          <w:szCs w:val="20"/>
        </w:rPr>
        <w:t>i</w:t>
      </w:r>
      <w:proofErr w:type="spellEnd"/>
      <w:r w:rsidR="00075EA1">
        <w:rPr>
          <w:rFonts w:ascii="Arial" w:hAnsi="Arial" w:cs="Arial"/>
          <w:sz w:val="20"/>
          <w:szCs w:val="20"/>
        </w:rPr>
        <w:t>)</w:t>
      </w:r>
      <w:r w:rsidR="00AB2A19">
        <w:rPr>
          <w:rFonts w:ascii="Arial" w:hAnsi="Arial" w:cs="Arial"/>
          <w:sz w:val="20"/>
          <w:szCs w:val="20"/>
        </w:rPr>
        <w:t xml:space="preserve"> the</w:t>
      </w:r>
      <w:r w:rsidR="00075EA1">
        <w:rPr>
          <w:rFonts w:ascii="Arial" w:hAnsi="Arial" w:cs="Arial"/>
          <w:sz w:val="20"/>
          <w:szCs w:val="20"/>
        </w:rPr>
        <w:t xml:space="preserve"> inclusion of </w:t>
      </w:r>
      <w:r w:rsidR="00075EA1" w:rsidRPr="002D391F">
        <w:rPr>
          <w:rFonts w:ascii="Arial" w:hAnsi="Arial" w:cs="Arial"/>
          <w:sz w:val="20"/>
          <w:szCs w:val="20"/>
        </w:rPr>
        <w:t xml:space="preserve">limited partnerships and exempted limited partnerships </w:t>
      </w:r>
      <w:r w:rsidR="00075EA1">
        <w:rPr>
          <w:rFonts w:ascii="Arial" w:hAnsi="Arial" w:cs="Arial"/>
          <w:sz w:val="20"/>
          <w:szCs w:val="20"/>
        </w:rPr>
        <w:t xml:space="preserve">within the </w:t>
      </w:r>
      <w:r w:rsidR="00521D1C">
        <w:rPr>
          <w:rFonts w:ascii="Arial" w:hAnsi="Arial" w:cs="Arial"/>
          <w:sz w:val="20"/>
          <w:szCs w:val="20"/>
        </w:rPr>
        <w:t xml:space="preserve">BOTA scoping </w:t>
      </w:r>
      <w:r w:rsidR="00075EA1">
        <w:rPr>
          <w:rFonts w:ascii="Arial" w:hAnsi="Arial" w:cs="Arial"/>
          <w:sz w:val="20"/>
          <w:szCs w:val="20"/>
        </w:rPr>
        <w:t>definition of</w:t>
      </w:r>
      <w:r w:rsidR="00EC3A44" w:rsidRPr="002D391F">
        <w:rPr>
          <w:rFonts w:ascii="Arial" w:hAnsi="Arial" w:cs="Arial"/>
          <w:sz w:val="20"/>
          <w:szCs w:val="20"/>
        </w:rPr>
        <w:t xml:space="preserve"> “legal person</w:t>
      </w:r>
      <w:r w:rsidR="003C0A70" w:rsidRPr="002D391F">
        <w:rPr>
          <w:rFonts w:ascii="Arial" w:hAnsi="Arial" w:cs="Arial"/>
          <w:sz w:val="20"/>
          <w:szCs w:val="20"/>
        </w:rPr>
        <w:t>”</w:t>
      </w:r>
      <w:r w:rsidR="00D011C1">
        <w:rPr>
          <w:rStyle w:val="FootnoteReference"/>
          <w:rFonts w:ascii="Arial" w:hAnsi="Arial" w:cs="Arial"/>
          <w:sz w:val="20"/>
          <w:szCs w:val="20"/>
        </w:rPr>
        <w:footnoteReference w:id="1"/>
      </w:r>
      <w:r w:rsidR="00521D1C">
        <w:rPr>
          <w:rFonts w:ascii="Arial" w:hAnsi="Arial" w:cs="Arial"/>
          <w:sz w:val="20"/>
          <w:szCs w:val="20"/>
        </w:rPr>
        <w:t>; and (ii) the removal of a number of exemptions, which operate to bring entities such</w:t>
      </w:r>
      <w:r w:rsidR="009A63C4">
        <w:rPr>
          <w:rFonts w:ascii="Arial" w:hAnsi="Arial" w:cs="Arial"/>
          <w:sz w:val="20"/>
          <w:szCs w:val="20"/>
        </w:rPr>
        <w:t xml:space="preserve"> as</w:t>
      </w:r>
      <w:r w:rsidR="00521D1C">
        <w:rPr>
          <w:rFonts w:ascii="Arial" w:hAnsi="Arial" w:cs="Arial"/>
          <w:sz w:val="20"/>
          <w:szCs w:val="20"/>
        </w:rPr>
        <w:t xml:space="preserve"> investment funds</w:t>
      </w:r>
      <w:r w:rsidR="005C0953">
        <w:rPr>
          <w:rFonts w:ascii="Arial" w:hAnsi="Arial" w:cs="Arial"/>
          <w:sz w:val="20"/>
          <w:szCs w:val="20"/>
        </w:rPr>
        <w:t>,</w:t>
      </w:r>
      <w:r w:rsidR="00521D1C">
        <w:rPr>
          <w:rFonts w:ascii="Arial" w:hAnsi="Arial" w:cs="Arial"/>
          <w:sz w:val="20"/>
          <w:szCs w:val="20"/>
        </w:rPr>
        <w:t xml:space="preserve"> as well as special purpose vehicles</w:t>
      </w:r>
      <w:r w:rsidR="00964787">
        <w:rPr>
          <w:rFonts w:ascii="Arial" w:hAnsi="Arial" w:cs="Arial"/>
          <w:sz w:val="20"/>
          <w:szCs w:val="20"/>
        </w:rPr>
        <w:t>;</w:t>
      </w:r>
      <w:r w:rsidR="00521D1C">
        <w:rPr>
          <w:rFonts w:ascii="Arial" w:hAnsi="Arial" w:cs="Arial"/>
          <w:sz w:val="20"/>
          <w:szCs w:val="20"/>
        </w:rPr>
        <w:t xml:space="preserve"> subsidiaries within fund complexes and other subsidiaries that would formerly have benefited from the subsidiary exemption under the previous legislation</w:t>
      </w:r>
      <w:r w:rsidR="00964787">
        <w:rPr>
          <w:rFonts w:ascii="Arial" w:hAnsi="Arial" w:cs="Arial"/>
          <w:sz w:val="20"/>
          <w:szCs w:val="20"/>
        </w:rPr>
        <w:t xml:space="preserve"> (</w:t>
      </w:r>
      <w:r w:rsidR="00521D1C">
        <w:rPr>
          <w:rFonts w:ascii="Arial" w:hAnsi="Arial" w:cs="Arial"/>
          <w:sz w:val="20"/>
          <w:szCs w:val="20"/>
        </w:rPr>
        <w:t>which now only remains for listed entities</w:t>
      </w:r>
      <w:r w:rsidR="00964787">
        <w:rPr>
          <w:rFonts w:ascii="Arial" w:hAnsi="Arial" w:cs="Arial"/>
          <w:sz w:val="20"/>
          <w:szCs w:val="20"/>
        </w:rPr>
        <w:t>), within scope of the obligation to maintain and file a BOR</w:t>
      </w:r>
      <w:r w:rsidR="00521D1C">
        <w:rPr>
          <w:rFonts w:ascii="Arial" w:hAnsi="Arial" w:cs="Arial"/>
          <w:sz w:val="20"/>
          <w:szCs w:val="20"/>
        </w:rPr>
        <w:t xml:space="preserve"> </w:t>
      </w:r>
      <w:r w:rsidR="00CF63D9">
        <w:rPr>
          <w:rFonts w:ascii="Arial" w:hAnsi="Arial" w:cs="Arial"/>
          <w:sz w:val="20"/>
          <w:szCs w:val="20"/>
        </w:rPr>
        <w:t xml:space="preserve">- </w:t>
      </w:r>
      <w:r w:rsidR="00382DFA">
        <w:rPr>
          <w:rFonts w:ascii="Arial" w:hAnsi="Arial" w:cs="Arial"/>
          <w:sz w:val="20"/>
          <w:szCs w:val="20"/>
        </w:rPr>
        <w:t>noting that</w:t>
      </w:r>
      <w:r w:rsidR="00052DC2">
        <w:rPr>
          <w:rFonts w:ascii="Arial" w:hAnsi="Arial" w:cs="Arial"/>
          <w:sz w:val="20"/>
          <w:szCs w:val="20"/>
        </w:rPr>
        <w:t xml:space="preserve"> </w:t>
      </w:r>
      <w:r w:rsidR="00EC76F7">
        <w:rPr>
          <w:rFonts w:ascii="Arial" w:hAnsi="Arial" w:cs="Arial"/>
          <w:sz w:val="20"/>
          <w:szCs w:val="20"/>
        </w:rPr>
        <w:t>an</w:t>
      </w:r>
      <w:r w:rsidR="00AA7CD5" w:rsidRPr="002D391F">
        <w:rPr>
          <w:rFonts w:ascii="Arial" w:hAnsi="Arial" w:cs="Arial"/>
          <w:sz w:val="20"/>
          <w:szCs w:val="20"/>
        </w:rPr>
        <w:t xml:space="preserve"> alternative route to compliance is available for </w:t>
      </w:r>
      <w:r w:rsidR="00964787">
        <w:rPr>
          <w:rFonts w:ascii="Arial" w:hAnsi="Arial" w:cs="Arial"/>
          <w:sz w:val="20"/>
          <w:szCs w:val="20"/>
        </w:rPr>
        <w:t xml:space="preserve">investment funds </w:t>
      </w:r>
      <w:r w:rsidR="00AA7CD5" w:rsidRPr="002D391F">
        <w:rPr>
          <w:rFonts w:ascii="Arial" w:hAnsi="Arial" w:cs="Arial"/>
          <w:sz w:val="20"/>
          <w:szCs w:val="20"/>
        </w:rPr>
        <w:t>(</w:t>
      </w:r>
      <w:r w:rsidR="004653F4">
        <w:rPr>
          <w:rFonts w:ascii="Arial" w:hAnsi="Arial" w:cs="Arial"/>
          <w:sz w:val="20"/>
          <w:szCs w:val="20"/>
        </w:rPr>
        <w:t xml:space="preserve">see </w:t>
      </w:r>
      <w:r w:rsidR="00AA7CD5" w:rsidRPr="002D391F">
        <w:rPr>
          <w:rFonts w:ascii="Arial" w:hAnsi="Arial" w:cs="Arial"/>
          <w:sz w:val="20"/>
          <w:szCs w:val="20"/>
        </w:rPr>
        <w:t xml:space="preserve">below). </w:t>
      </w:r>
    </w:p>
    <w:p w14:paraId="094798E4" w14:textId="4B5459F1" w:rsidR="00B03796" w:rsidRPr="002D391F" w:rsidRDefault="002F7345" w:rsidP="00DE0A3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D391F">
        <w:rPr>
          <w:rFonts w:ascii="Arial" w:hAnsi="Arial" w:cs="Arial"/>
          <w:sz w:val="20"/>
          <w:szCs w:val="20"/>
        </w:rPr>
        <w:t>Trusts and registered foreign companies remain outside of the scope of the BO</w:t>
      </w:r>
      <w:r w:rsidR="00013E5C">
        <w:rPr>
          <w:rFonts w:ascii="Arial" w:hAnsi="Arial" w:cs="Arial"/>
          <w:sz w:val="20"/>
          <w:szCs w:val="20"/>
        </w:rPr>
        <w:t>R</w:t>
      </w:r>
      <w:r w:rsidRPr="002D391F">
        <w:rPr>
          <w:rFonts w:ascii="Arial" w:hAnsi="Arial" w:cs="Arial"/>
          <w:sz w:val="20"/>
          <w:szCs w:val="20"/>
        </w:rPr>
        <w:t>R.</w:t>
      </w:r>
      <w:r w:rsidR="00D011C1">
        <w:rPr>
          <w:rStyle w:val="FootnoteReference"/>
          <w:rFonts w:ascii="Arial" w:hAnsi="Arial" w:cs="Arial"/>
          <w:sz w:val="20"/>
          <w:szCs w:val="20"/>
        </w:rPr>
        <w:footnoteReference w:id="2"/>
      </w:r>
      <w:r w:rsidRPr="002D391F">
        <w:rPr>
          <w:rFonts w:ascii="Arial" w:hAnsi="Arial" w:cs="Arial"/>
          <w:sz w:val="20"/>
          <w:szCs w:val="20"/>
        </w:rPr>
        <w:t xml:space="preserve"> </w:t>
      </w:r>
    </w:p>
    <w:p w14:paraId="6BB3AD46" w14:textId="2A7428B2" w:rsidR="00D32223" w:rsidRPr="00CF63D9" w:rsidRDefault="004F2439" w:rsidP="00DE0A38">
      <w:pPr>
        <w:pStyle w:val="ListParagraph"/>
        <w:keepNext/>
        <w:keepLines/>
        <w:numPr>
          <w:ilvl w:val="0"/>
          <w:numId w:val="5"/>
        </w:numPr>
        <w:spacing w:before="120" w:after="120"/>
        <w:ind w:hanging="720"/>
        <w:jc w:val="both"/>
        <w:rPr>
          <w:rFonts w:ascii="Arial" w:hAnsi="Arial" w:cs="Arial"/>
          <w:b/>
          <w:bCs/>
          <w:color w:val="0070C0"/>
          <w:sz w:val="20"/>
          <w:szCs w:val="20"/>
        </w:rPr>
      </w:pPr>
      <w:r w:rsidRPr="002D391F">
        <w:rPr>
          <w:rFonts w:ascii="Arial" w:hAnsi="Arial" w:cs="Arial"/>
          <w:b/>
          <w:bCs/>
          <w:color w:val="0070C0"/>
          <w:sz w:val="20"/>
          <w:szCs w:val="20"/>
        </w:rPr>
        <w:t xml:space="preserve">Alternative </w:t>
      </w:r>
      <w:r w:rsidR="005656B1" w:rsidRPr="002D391F">
        <w:rPr>
          <w:rFonts w:ascii="Arial" w:hAnsi="Arial" w:cs="Arial"/>
          <w:b/>
          <w:bCs/>
          <w:color w:val="0070C0"/>
          <w:sz w:val="20"/>
          <w:szCs w:val="20"/>
        </w:rPr>
        <w:t>route to compliance</w:t>
      </w:r>
    </w:p>
    <w:p w14:paraId="6A71A1CA" w14:textId="6403312B" w:rsidR="00C36AF9" w:rsidRDefault="006F5F93" w:rsidP="00DE0A3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Under the alternative route to compliance, </w:t>
      </w:r>
      <w:r w:rsidR="0028718A">
        <w:rPr>
          <w:rFonts w:ascii="Arial" w:hAnsi="Arial" w:cs="Arial"/>
          <w:sz w:val="20"/>
          <w:szCs w:val="20"/>
        </w:rPr>
        <w:t xml:space="preserve">an </w:t>
      </w:r>
      <w:r w:rsidR="00805CAC">
        <w:rPr>
          <w:rFonts w:ascii="Arial" w:hAnsi="Arial" w:cs="Arial"/>
          <w:sz w:val="20"/>
          <w:szCs w:val="20"/>
        </w:rPr>
        <w:t>i</w:t>
      </w:r>
      <w:r w:rsidR="006D2A9D">
        <w:rPr>
          <w:rFonts w:ascii="Arial" w:hAnsi="Arial" w:cs="Arial"/>
          <w:sz w:val="20"/>
          <w:szCs w:val="20"/>
        </w:rPr>
        <w:t xml:space="preserve">nvestment </w:t>
      </w:r>
      <w:r w:rsidR="00805CAC">
        <w:rPr>
          <w:rFonts w:ascii="Arial" w:hAnsi="Arial" w:cs="Arial"/>
          <w:sz w:val="20"/>
          <w:szCs w:val="20"/>
        </w:rPr>
        <w:t>f</w:t>
      </w:r>
      <w:r w:rsidR="006D2A9D">
        <w:rPr>
          <w:rFonts w:ascii="Arial" w:hAnsi="Arial" w:cs="Arial"/>
          <w:sz w:val="20"/>
          <w:szCs w:val="20"/>
        </w:rPr>
        <w:t>und</w:t>
      </w:r>
      <w:r w:rsidR="00674CB9">
        <w:rPr>
          <w:rFonts w:ascii="Arial" w:hAnsi="Arial" w:cs="Arial"/>
          <w:sz w:val="20"/>
          <w:szCs w:val="20"/>
        </w:rPr>
        <w:t xml:space="preserve"> may </w:t>
      </w:r>
      <w:r w:rsidR="00805CAC">
        <w:rPr>
          <w:rFonts w:ascii="Arial" w:hAnsi="Arial" w:cs="Arial"/>
          <w:sz w:val="20"/>
          <w:szCs w:val="20"/>
        </w:rPr>
        <w:t xml:space="preserve">opt to appoint, and </w:t>
      </w:r>
      <w:r w:rsidR="00824468">
        <w:rPr>
          <w:rFonts w:ascii="Arial" w:hAnsi="Arial" w:cs="Arial"/>
          <w:sz w:val="20"/>
          <w:szCs w:val="20"/>
        </w:rPr>
        <w:t>provide contact details for</w:t>
      </w:r>
      <w:r w:rsidR="00805CAC">
        <w:rPr>
          <w:rFonts w:ascii="Arial" w:hAnsi="Arial" w:cs="Arial"/>
          <w:sz w:val="20"/>
          <w:szCs w:val="20"/>
        </w:rPr>
        <w:t>,</w:t>
      </w:r>
      <w:r w:rsidR="00824468">
        <w:rPr>
          <w:rFonts w:ascii="Arial" w:hAnsi="Arial" w:cs="Arial"/>
          <w:sz w:val="20"/>
          <w:szCs w:val="20"/>
        </w:rPr>
        <w:t xml:space="preserve"> a “contact person”</w:t>
      </w:r>
      <w:r w:rsidR="008A655E" w:rsidRPr="002D391F">
        <w:rPr>
          <w:rFonts w:ascii="Arial" w:hAnsi="Arial" w:cs="Arial"/>
          <w:sz w:val="20"/>
          <w:szCs w:val="20"/>
        </w:rPr>
        <w:t xml:space="preserve"> instead of </w:t>
      </w:r>
      <w:r w:rsidR="00805CAC">
        <w:rPr>
          <w:rFonts w:ascii="Arial" w:hAnsi="Arial" w:cs="Arial"/>
          <w:sz w:val="20"/>
          <w:szCs w:val="20"/>
        </w:rPr>
        <w:t>maintaining a beneficial ownership register.</w:t>
      </w:r>
      <w:r w:rsidR="00C0686B" w:rsidRPr="002D391F">
        <w:rPr>
          <w:rFonts w:ascii="Arial" w:hAnsi="Arial" w:cs="Arial"/>
          <w:sz w:val="20"/>
          <w:szCs w:val="20"/>
        </w:rPr>
        <w:t xml:space="preserve"> </w:t>
      </w:r>
      <w:r w:rsidR="007E40E8" w:rsidRPr="002D391F">
        <w:rPr>
          <w:rFonts w:ascii="Arial" w:hAnsi="Arial" w:cs="Arial"/>
          <w:sz w:val="20"/>
          <w:szCs w:val="20"/>
        </w:rPr>
        <w:t xml:space="preserve">The contact </w:t>
      </w:r>
      <w:r w:rsidR="00805CAC">
        <w:rPr>
          <w:rFonts w:ascii="Arial" w:hAnsi="Arial" w:cs="Arial"/>
          <w:sz w:val="20"/>
          <w:szCs w:val="20"/>
        </w:rPr>
        <w:t xml:space="preserve">person may be </w:t>
      </w:r>
      <w:r w:rsidR="007E40E8" w:rsidRPr="002D391F">
        <w:rPr>
          <w:rFonts w:ascii="Arial" w:hAnsi="Arial" w:cs="Arial"/>
          <w:sz w:val="20"/>
          <w:szCs w:val="20"/>
        </w:rPr>
        <w:t>a</w:t>
      </w:r>
      <w:r w:rsidR="00A745DB" w:rsidRPr="002D391F">
        <w:rPr>
          <w:rFonts w:ascii="Arial" w:hAnsi="Arial" w:cs="Arial"/>
          <w:sz w:val="20"/>
          <w:szCs w:val="20"/>
        </w:rPr>
        <w:t xml:space="preserve"> </w:t>
      </w:r>
      <w:r w:rsidR="00805CAC">
        <w:rPr>
          <w:rFonts w:ascii="Arial" w:hAnsi="Arial" w:cs="Arial"/>
          <w:sz w:val="20"/>
          <w:szCs w:val="20"/>
        </w:rPr>
        <w:t>Cayman-</w:t>
      </w:r>
      <w:r w:rsidR="00A745DB" w:rsidRPr="002D391F">
        <w:rPr>
          <w:rFonts w:ascii="Arial" w:hAnsi="Arial" w:cs="Arial"/>
          <w:sz w:val="20"/>
          <w:szCs w:val="20"/>
        </w:rPr>
        <w:t xml:space="preserve">licensed fund administrator or another contact person licensed or registered under a </w:t>
      </w:r>
      <w:r w:rsidR="00805CAC">
        <w:rPr>
          <w:rFonts w:ascii="Arial" w:hAnsi="Arial" w:cs="Arial"/>
          <w:sz w:val="20"/>
          <w:szCs w:val="20"/>
        </w:rPr>
        <w:lastRenderedPageBreak/>
        <w:t xml:space="preserve">Cayman Islands </w:t>
      </w:r>
      <w:r w:rsidR="00A745DB" w:rsidRPr="002D391F">
        <w:rPr>
          <w:rFonts w:ascii="Arial" w:hAnsi="Arial" w:cs="Arial"/>
          <w:sz w:val="20"/>
          <w:szCs w:val="20"/>
        </w:rPr>
        <w:t>regulatory law</w:t>
      </w:r>
      <w:r w:rsidR="00805CAC">
        <w:rPr>
          <w:rFonts w:ascii="Arial" w:hAnsi="Arial" w:cs="Arial"/>
          <w:sz w:val="20"/>
          <w:szCs w:val="20"/>
        </w:rPr>
        <w:t xml:space="preserve"> and such person would be expected to be able to </w:t>
      </w:r>
      <w:r w:rsidR="001B5193">
        <w:rPr>
          <w:rFonts w:ascii="Arial" w:hAnsi="Arial" w:cs="Arial"/>
          <w:sz w:val="20"/>
          <w:szCs w:val="20"/>
        </w:rPr>
        <w:t xml:space="preserve">provide on behalf of the fund and on request of the BORR competent authority, such </w:t>
      </w:r>
      <w:r w:rsidR="00A745DB" w:rsidRPr="002D391F">
        <w:rPr>
          <w:rFonts w:ascii="Arial" w:hAnsi="Arial" w:cs="Arial"/>
          <w:sz w:val="20"/>
          <w:szCs w:val="20"/>
        </w:rPr>
        <w:t xml:space="preserve">beneficial ownership information </w:t>
      </w:r>
      <w:r w:rsidR="001B5193">
        <w:rPr>
          <w:rFonts w:ascii="Arial" w:hAnsi="Arial" w:cs="Arial"/>
          <w:sz w:val="20"/>
          <w:szCs w:val="20"/>
        </w:rPr>
        <w:t xml:space="preserve">as would have been required to be entered on the fund’s beneficial ownership register had it opted to maintain one. </w:t>
      </w:r>
    </w:p>
    <w:p w14:paraId="6B1D1330" w14:textId="7F48F39D" w:rsidR="00015F4B" w:rsidRPr="002D391F" w:rsidRDefault="00805CAC" w:rsidP="00DE0A3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are various considerations to be weighed in deciding whether to avail of this option.</w:t>
      </w:r>
      <w:r w:rsidDel="00805CAC">
        <w:rPr>
          <w:rFonts w:ascii="Arial" w:hAnsi="Arial" w:cs="Arial"/>
          <w:sz w:val="20"/>
          <w:szCs w:val="20"/>
        </w:rPr>
        <w:t xml:space="preserve"> </w:t>
      </w:r>
      <w:r w:rsidR="00E82623">
        <w:rPr>
          <w:rFonts w:ascii="Arial" w:hAnsi="Arial" w:cs="Arial"/>
          <w:sz w:val="20"/>
          <w:szCs w:val="20"/>
        </w:rPr>
        <w:t>As previously noted, the exemptions (re-styled as ‘</w:t>
      </w:r>
      <w:r w:rsidR="00825D97">
        <w:rPr>
          <w:rFonts w:ascii="Arial" w:hAnsi="Arial" w:cs="Arial"/>
          <w:sz w:val="20"/>
          <w:szCs w:val="20"/>
        </w:rPr>
        <w:t>alternative route</w:t>
      </w:r>
      <w:r w:rsidR="00E82623">
        <w:rPr>
          <w:rFonts w:ascii="Arial" w:hAnsi="Arial" w:cs="Arial"/>
          <w:sz w:val="20"/>
          <w:szCs w:val="20"/>
        </w:rPr>
        <w:t>s</w:t>
      </w:r>
      <w:r w:rsidR="00825D97">
        <w:rPr>
          <w:rFonts w:ascii="Arial" w:hAnsi="Arial" w:cs="Arial"/>
          <w:sz w:val="20"/>
          <w:szCs w:val="20"/>
        </w:rPr>
        <w:t xml:space="preserve"> to compliance</w:t>
      </w:r>
      <w:r w:rsidR="00E82623">
        <w:rPr>
          <w:rFonts w:ascii="Arial" w:hAnsi="Arial" w:cs="Arial"/>
          <w:sz w:val="20"/>
          <w:szCs w:val="20"/>
        </w:rPr>
        <w:t>’)</w:t>
      </w:r>
      <w:r w:rsidR="00825D97">
        <w:rPr>
          <w:rFonts w:ascii="Arial" w:hAnsi="Arial" w:cs="Arial"/>
          <w:sz w:val="20"/>
          <w:szCs w:val="20"/>
        </w:rPr>
        <w:t xml:space="preserve">, </w:t>
      </w:r>
      <w:r w:rsidR="00E82623">
        <w:rPr>
          <w:rFonts w:ascii="Arial" w:hAnsi="Arial" w:cs="Arial"/>
          <w:sz w:val="20"/>
          <w:szCs w:val="20"/>
        </w:rPr>
        <w:t xml:space="preserve">effectively remain in place for </w:t>
      </w:r>
      <w:r w:rsidR="009D0792">
        <w:rPr>
          <w:rFonts w:ascii="Arial" w:hAnsi="Arial" w:cs="Arial"/>
          <w:sz w:val="20"/>
          <w:szCs w:val="20"/>
        </w:rPr>
        <w:t xml:space="preserve">an </w:t>
      </w:r>
      <w:r w:rsidR="00825D97">
        <w:rPr>
          <w:rFonts w:ascii="Arial" w:hAnsi="Arial" w:cs="Arial"/>
          <w:sz w:val="20"/>
          <w:szCs w:val="20"/>
        </w:rPr>
        <w:t>e</w:t>
      </w:r>
      <w:r w:rsidR="0088467B" w:rsidRPr="000F4320">
        <w:rPr>
          <w:rFonts w:ascii="Arial" w:hAnsi="Arial" w:cs="Arial"/>
          <w:sz w:val="20"/>
          <w:szCs w:val="20"/>
        </w:rPr>
        <w:t>ntit</w:t>
      </w:r>
      <w:r w:rsidR="009D0792">
        <w:rPr>
          <w:rFonts w:ascii="Arial" w:hAnsi="Arial" w:cs="Arial"/>
          <w:sz w:val="20"/>
          <w:szCs w:val="20"/>
        </w:rPr>
        <w:t>y</w:t>
      </w:r>
      <w:r w:rsidR="0088467B" w:rsidRPr="000F4320">
        <w:rPr>
          <w:rFonts w:ascii="Arial" w:hAnsi="Arial" w:cs="Arial"/>
          <w:sz w:val="20"/>
          <w:szCs w:val="20"/>
        </w:rPr>
        <w:t xml:space="preserve"> (or </w:t>
      </w:r>
      <w:r w:rsidR="009D0792">
        <w:rPr>
          <w:rFonts w:ascii="Arial" w:hAnsi="Arial" w:cs="Arial"/>
          <w:sz w:val="20"/>
          <w:szCs w:val="20"/>
        </w:rPr>
        <w:t xml:space="preserve">a </w:t>
      </w:r>
      <w:r w:rsidR="0088467B" w:rsidRPr="000F4320">
        <w:rPr>
          <w:rFonts w:ascii="Arial" w:hAnsi="Arial" w:cs="Arial"/>
          <w:sz w:val="20"/>
          <w:szCs w:val="20"/>
        </w:rPr>
        <w:t>subsidiar</w:t>
      </w:r>
      <w:r w:rsidR="009D0792">
        <w:rPr>
          <w:rFonts w:ascii="Arial" w:hAnsi="Arial" w:cs="Arial"/>
          <w:sz w:val="20"/>
          <w:szCs w:val="20"/>
        </w:rPr>
        <w:t>y</w:t>
      </w:r>
      <w:r w:rsidR="0088467B" w:rsidRPr="000F4320">
        <w:rPr>
          <w:rFonts w:ascii="Arial" w:hAnsi="Arial" w:cs="Arial"/>
          <w:sz w:val="20"/>
          <w:szCs w:val="20"/>
        </w:rPr>
        <w:t xml:space="preserve"> of</w:t>
      </w:r>
      <w:r w:rsidR="009D0792">
        <w:rPr>
          <w:rFonts w:ascii="Arial" w:hAnsi="Arial" w:cs="Arial"/>
          <w:sz w:val="20"/>
          <w:szCs w:val="20"/>
        </w:rPr>
        <w:t xml:space="preserve"> an</w:t>
      </w:r>
      <w:r w:rsidR="0088467B" w:rsidRPr="000F4320">
        <w:rPr>
          <w:rFonts w:ascii="Arial" w:hAnsi="Arial" w:cs="Arial"/>
          <w:sz w:val="20"/>
          <w:szCs w:val="20"/>
        </w:rPr>
        <w:t xml:space="preserve"> entit</w:t>
      </w:r>
      <w:r w:rsidR="009D0792">
        <w:rPr>
          <w:rFonts w:ascii="Arial" w:hAnsi="Arial" w:cs="Arial"/>
          <w:sz w:val="20"/>
          <w:szCs w:val="20"/>
        </w:rPr>
        <w:t>y</w:t>
      </w:r>
      <w:r w:rsidR="0088467B" w:rsidRPr="000F4320">
        <w:rPr>
          <w:rFonts w:ascii="Arial" w:hAnsi="Arial" w:cs="Arial"/>
          <w:sz w:val="20"/>
          <w:szCs w:val="20"/>
        </w:rPr>
        <w:t xml:space="preserve">) listed on an approved stock exchange; and </w:t>
      </w:r>
      <w:r w:rsidR="009D0792">
        <w:rPr>
          <w:rFonts w:ascii="Arial" w:hAnsi="Arial" w:cs="Arial"/>
          <w:sz w:val="20"/>
          <w:szCs w:val="20"/>
        </w:rPr>
        <w:t xml:space="preserve">an </w:t>
      </w:r>
      <w:r w:rsidR="0088467B" w:rsidRPr="000F4320">
        <w:rPr>
          <w:rFonts w:ascii="Arial" w:hAnsi="Arial" w:cs="Arial"/>
          <w:sz w:val="20"/>
          <w:szCs w:val="20"/>
        </w:rPr>
        <w:t>entit</w:t>
      </w:r>
      <w:r w:rsidR="009D0792">
        <w:rPr>
          <w:rFonts w:ascii="Arial" w:hAnsi="Arial" w:cs="Arial"/>
          <w:sz w:val="20"/>
          <w:szCs w:val="20"/>
        </w:rPr>
        <w:t>y</w:t>
      </w:r>
      <w:r w:rsidR="0088467B" w:rsidRPr="000F4320">
        <w:rPr>
          <w:rFonts w:ascii="Arial" w:hAnsi="Arial" w:cs="Arial"/>
          <w:sz w:val="20"/>
          <w:szCs w:val="20"/>
        </w:rPr>
        <w:t xml:space="preserve"> licensed under a Cayman Islands regulatory law</w:t>
      </w:r>
      <w:r w:rsidR="00E82623">
        <w:rPr>
          <w:rFonts w:ascii="Arial" w:hAnsi="Arial" w:cs="Arial"/>
          <w:sz w:val="20"/>
          <w:szCs w:val="20"/>
        </w:rPr>
        <w:t xml:space="preserve">, </w:t>
      </w:r>
      <w:r w:rsidR="00621B43">
        <w:rPr>
          <w:rFonts w:ascii="Arial" w:hAnsi="Arial" w:cs="Arial"/>
          <w:sz w:val="20"/>
          <w:szCs w:val="20"/>
        </w:rPr>
        <w:t>which</w:t>
      </w:r>
      <w:r w:rsidR="00E82623">
        <w:rPr>
          <w:rFonts w:ascii="Arial" w:hAnsi="Arial" w:cs="Arial"/>
          <w:sz w:val="20"/>
          <w:szCs w:val="20"/>
        </w:rPr>
        <w:t>, as previously</w:t>
      </w:r>
      <w:r w:rsidR="0088467B" w:rsidRPr="000F4320">
        <w:rPr>
          <w:rFonts w:ascii="Arial" w:hAnsi="Arial" w:cs="Arial"/>
          <w:sz w:val="20"/>
          <w:szCs w:val="20"/>
        </w:rPr>
        <w:t>,</w:t>
      </w:r>
      <w:r w:rsidR="0088467B">
        <w:rPr>
          <w:rFonts w:ascii="Arial" w:hAnsi="Arial" w:cs="Arial"/>
          <w:sz w:val="20"/>
          <w:szCs w:val="20"/>
        </w:rPr>
        <w:t xml:space="preserve"> </w:t>
      </w:r>
      <w:r w:rsidR="00E82623">
        <w:rPr>
          <w:rFonts w:ascii="Arial" w:hAnsi="Arial" w:cs="Arial"/>
          <w:sz w:val="20"/>
          <w:szCs w:val="20"/>
        </w:rPr>
        <w:t xml:space="preserve">are required </w:t>
      </w:r>
      <w:r w:rsidR="0088467B">
        <w:rPr>
          <w:rFonts w:ascii="Arial" w:hAnsi="Arial" w:cs="Arial"/>
          <w:sz w:val="20"/>
          <w:szCs w:val="20"/>
        </w:rPr>
        <w:t xml:space="preserve">to provide details of their </w:t>
      </w:r>
      <w:r w:rsidR="001C5F63">
        <w:rPr>
          <w:rFonts w:ascii="Arial" w:hAnsi="Arial" w:cs="Arial"/>
          <w:sz w:val="20"/>
          <w:szCs w:val="20"/>
        </w:rPr>
        <w:t xml:space="preserve">listing and </w:t>
      </w:r>
      <w:r w:rsidR="00825D97">
        <w:rPr>
          <w:rFonts w:ascii="Arial" w:hAnsi="Arial" w:cs="Arial"/>
          <w:sz w:val="20"/>
          <w:szCs w:val="20"/>
        </w:rPr>
        <w:t>license</w:t>
      </w:r>
      <w:r w:rsidR="001C5F63">
        <w:rPr>
          <w:rFonts w:ascii="Arial" w:hAnsi="Arial" w:cs="Arial"/>
          <w:sz w:val="20"/>
          <w:szCs w:val="20"/>
        </w:rPr>
        <w:t>, respectively, to their corporate services provider</w:t>
      </w:r>
      <w:r w:rsidR="00E82623">
        <w:rPr>
          <w:rFonts w:ascii="Arial" w:hAnsi="Arial" w:cs="Arial"/>
          <w:sz w:val="20"/>
          <w:szCs w:val="20"/>
        </w:rPr>
        <w:t xml:space="preserve"> for filing with the competent authority</w:t>
      </w:r>
      <w:r w:rsidR="001C5F63">
        <w:rPr>
          <w:rFonts w:ascii="Arial" w:hAnsi="Arial" w:cs="Arial"/>
          <w:sz w:val="20"/>
          <w:szCs w:val="20"/>
        </w:rPr>
        <w:t xml:space="preserve">. </w:t>
      </w:r>
    </w:p>
    <w:p w14:paraId="44B6223A" w14:textId="4BE9328A" w:rsidR="001509AD" w:rsidRPr="002D391F" w:rsidRDefault="00E82623" w:rsidP="0081736E">
      <w:pPr>
        <w:pStyle w:val="ListParagraph"/>
        <w:keepNext/>
        <w:keepLines/>
        <w:numPr>
          <w:ilvl w:val="0"/>
          <w:numId w:val="5"/>
        </w:numPr>
        <w:spacing w:before="120" w:after="120"/>
        <w:ind w:hanging="720"/>
        <w:jc w:val="both"/>
        <w:rPr>
          <w:rFonts w:ascii="Arial" w:hAnsi="Arial" w:cs="Arial"/>
          <w:b/>
          <w:bCs/>
          <w:color w:val="0070C0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Additional </w:t>
      </w:r>
      <w:r w:rsidR="005656B1" w:rsidRPr="002D391F">
        <w:rPr>
          <w:rFonts w:ascii="Arial" w:hAnsi="Arial" w:cs="Arial"/>
          <w:b/>
          <w:bCs/>
          <w:color w:val="0070C0"/>
          <w:sz w:val="20"/>
          <w:szCs w:val="20"/>
        </w:rPr>
        <w:t xml:space="preserve">information to be </w:t>
      </w:r>
      <w:proofErr w:type="gramStart"/>
      <w:r w:rsidR="005656B1" w:rsidRPr="002D391F">
        <w:rPr>
          <w:rFonts w:ascii="Arial" w:hAnsi="Arial" w:cs="Arial"/>
          <w:b/>
          <w:bCs/>
          <w:color w:val="0070C0"/>
          <w:sz w:val="20"/>
          <w:szCs w:val="20"/>
        </w:rPr>
        <w:t>reported</w:t>
      </w:r>
      <w:proofErr w:type="gramEnd"/>
    </w:p>
    <w:p w14:paraId="1A4BF3AC" w14:textId="70DC42D7" w:rsidR="001509AD" w:rsidRPr="002D391F" w:rsidRDefault="001509AD" w:rsidP="00DE0A3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D391F">
        <w:rPr>
          <w:rFonts w:ascii="Arial" w:hAnsi="Arial" w:cs="Arial"/>
          <w:sz w:val="20"/>
          <w:szCs w:val="20"/>
        </w:rPr>
        <w:t>The BO</w:t>
      </w:r>
      <w:r w:rsidR="00013E5C">
        <w:rPr>
          <w:rFonts w:ascii="Arial" w:hAnsi="Arial" w:cs="Arial"/>
          <w:sz w:val="20"/>
          <w:szCs w:val="20"/>
        </w:rPr>
        <w:t>R</w:t>
      </w:r>
      <w:r w:rsidRPr="002D391F">
        <w:rPr>
          <w:rFonts w:ascii="Arial" w:hAnsi="Arial" w:cs="Arial"/>
          <w:sz w:val="20"/>
          <w:szCs w:val="20"/>
        </w:rPr>
        <w:t xml:space="preserve">R </w:t>
      </w:r>
      <w:r w:rsidR="00E82623">
        <w:rPr>
          <w:rFonts w:ascii="Arial" w:hAnsi="Arial" w:cs="Arial"/>
          <w:sz w:val="20"/>
          <w:szCs w:val="20"/>
        </w:rPr>
        <w:t xml:space="preserve">has added required particulars </w:t>
      </w:r>
      <w:r w:rsidRPr="002D391F">
        <w:rPr>
          <w:rFonts w:ascii="Arial" w:hAnsi="Arial" w:cs="Arial"/>
          <w:sz w:val="20"/>
          <w:szCs w:val="20"/>
        </w:rPr>
        <w:t>regarding beneficial owners</w:t>
      </w:r>
      <w:r w:rsidR="00E82623">
        <w:rPr>
          <w:rFonts w:ascii="Arial" w:hAnsi="Arial" w:cs="Arial"/>
          <w:sz w:val="20"/>
          <w:szCs w:val="20"/>
        </w:rPr>
        <w:t>,</w:t>
      </w:r>
      <w:r w:rsidRPr="002D391F">
        <w:rPr>
          <w:rFonts w:ascii="Arial" w:hAnsi="Arial" w:cs="Arial"/>
          <w:sz w:val="20"/>
          <w:szCs w:val="20"/>
        </w:rPr>
        <w:t xml:space="preserve"> </w:t>
      </w:r>
      <w:r w:rsidR="00E82623">
        <w:rPr>
          <w:rFonts w:ascii="Arial" w:hAnsi="Arial" w:cs="Arial"/>
          <w:sz w:val="20"/>
          <w:szCs w:val="20"/>
        </w:rPr>
        <w:t xml:space="preserve">such as </w:t>
      </w:r>
      <w:r w:rsidRPr="002D391F">
        <w:rPr>
          <w:rFonts w:ascii="Arial" w:hAnsi="Arial" w:cs="Arial"/>
          <w:sz w:val="20"/>
          <w:szCs w:val="20"/>
        </w:rPr>
        <w:t xml:space="preserve">the nationality of beneficial owners and the nature </w:t>
      </w:r>
      <w:r w:rsidR="00E82623">
        <w:rPr>
          <w:rFonts w:ascii="Arial" w:hAnsi="Arial" w:cs="Arial"/>
          <w:sz w:val="20"/>
          <w:szCs w:val="20"/>
        </w:rPr>
        <w:t xml:space="preserve">of/basis on which an individual is a beneficial owner </w:t>
      </w:r>
      <w:r w:rsidRPr="002D391F">
        <w:rPr>
          <w:rFonts w:ascii="Arial" w:hAnsi="Arial" w:cs="Arial"/>
          <w:sz w:val="20"/>
          <w:szCs w:val="20"/>
        </w:rPr>
        <w:t>of a legal person.</w:t>
      </w:r>
    </w:p>
    <w:p w14:paraId="61A4B2EC" w14:textId="75DD79FF" w:rsidR="008C3C0A" w:rsidRPr="00CF63D9" w:rsidRDefault="00D011C1" w:rsidP="002D391F">
      <w:pPr>
        <w:spacing w:before="120" w:after="120"/>
        <w:jc w:val="both"/>
        <w:rPr>
          <w:rFonts w:ascii="Arial" w:hAnsi="Arial" w:cs="Arial"/>
          <w:b/>
          <w:bCs/>
          <w:color w:val="2E74B5" w:themeColor="accent5" w:themeShade="BF"/>
          <w:sz w:val="20"/>
          <w:szCs w:val="20"/>
        </w:rPr>
      </w:pPr>
      <w:r w:rsidRPr="00CF63D9">
        <w:rPr>
          <w:rFonts w:ascii="Arial" w:hAnsi="Arial" w:cs="Arial"/>
          <w:b/>
          <w:bCs/>
          <w:color w:val="2E74B5" w:themeColor="accent5" w:themeShade="BF"/>
          <w:sz w:val="20"/>
          <w:szCs w:val="20"/>
        </w:rPr>
        <w:t xml:space="preserve">Next Steps </w:t>
      </w:r>
    </w:p>
    <w:p w14:paraId="07ACEEC5" w14:textId="27B3D2A2" w:rsidR="004B37AE" w:rsidRPr="00805CAC" w:rsidRDefault="0052376A" w:rsidP="00805CAC">
      <w:pPr>
        <w:spacing w:before="120"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Clients that </w:t>
      </w:r>
      <w:r w:rsidR="004B37AE" w:rsidRPr="00805CAC">
        <w:rPr>
          <w:rFonts w:ascii="Arial" w:hAnsi="Arial" w:cs="Arial"/>
          <w:sz w:val="20"/>
          <w:szCs w:val="20"/>
        </w:rPr>
        <w:t>are already reporting beneficial ownership need to review and update their reporting to ensure compliance with the BORR.</w:t>
      </w:r>
    </w:p>
    <w:p w14:paraId="06C14B44" w14:textId="101056E9" w:rsidR="00A448F3" w:rsidRDefault="0052376A" w:rsidP="00805CAC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Clients </w:t>
      </w:r>
      <w:r w:rsidR="00A448F3">
        <w:rPr>
          <w:rFonts w:ascii="Arial" w:hAnsi="Arial" w:cs="Arial"/>
          <w:sz w:val="20"/>
          <w:szCs w:val="20"/>
        </w:rPr>
        <w:t>that are newly required to maintain and file beneficial ownership registers need to ensure that they are in a position to comply by 1 January 2025.</w:t>
      </w:r>
    </w:p>
    <w:p w14:paraId="14171713" w14:textId="77777777" w:rsidR="00CF63D9" w:rsidRDefault="00A448F3" w:rsidP="0052376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Investment fund</w:t>
      </w:r>
      <w:r w:rsidR="0052376A">
        <w:rPr>
          <w:rFonts w:ascii="Arial" w:hAnsi="Arial" w:cs="Arial"/>
          <w:sz w:val="20"/>
          <w:szCs w:val="20"/>
        </w:rPr>
        <w:t xml:space="preserve"> clients </w:t>
      </w:r>
      <w:r>
        <w:rPr>
          <w:rFonts w:ascii="Arial" w:hAnsi="Arial" w:cs="Arial"/>
          <w:sz w:val="20"/>
          <w:szCs w:val="20"/>
        </w:rPr>
        <w:t xml:space="preserve">need to consider whether or not to opt for the alternative route to compliance. Where a fund opts for the alternative route, our </w:t>
      </w:r>
      <w:r w:rsidR="0052376A">
        <w:rPr>
          <w:rFonts w:ascii="Arial" w:hAnsi="Arial" w:cs="Arial"/>
          <w:sz w:val="20"/>
          <w:szCs w:val="20"/>
        </w:rPr>
        <w:t>licensed corporate services affiliate can provide the contact person service, if necessary (i.e. where for some reason there is not a Cayman-licensed fund administrator available to be contact person).</w:t>
      </w:r>
    </w:p>
    <w:p w14:paraId="33D54FF2" w14:textId="60FA4CE4" w:rsidR="00F31BBB" w:rsidRPr="002D391F" w:rsidRDefault="00A448F3" w:rsidP="00F31BBB">
      <w:pPr>
        <w:spacing w:before="120" w:after="1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Your regular TTA </w:t>
      </w:r>
      <w:r w:rsidR="001B5193">
        <w:rPr>
          <w:rFonts w:ascii="Arial" w:hAnsi="Arial" w:cs="Arial"/>
          <w:sz w:val="20"/>
          <w:szCs w:val="20"/>
        </w:rPr>
        <w:t xml:space="preserve">attorney contact </w:t>
      </w:r>
      <w:r>
        <w:rPr>
          <w:rFonts w:ascii="Arial" w:hAnsi="Arial" w:cs="Arial"/>
          <w:sz w:val="20"/>
          <w:szCs w:val="20"/>
        </w:rPr>
        <w:t xml:space="preserve">is ready to assist you </w:t>
      </w:r>
      <w:r w:rsidR="0084415A" w:rsidRPr="002D391F">
        <w:rPr>
          <w:rFonts w:ascii="Arial" w:hAnsi="Arial" w:cs="Arial"/>
          <w:sz w:val="20"/>
          <w:szCs w:val="20"/>
        </w:rPr>
        <w:t xml:space="preserve">with any questions </w:t>
      </w:r>
      <w:r>
        <w:rPr>
          <w:rFonts w:ascii="Arial" w:hAnsi="Arial" w:cs="Arial"/>
          <w:sz w:val="20"/>
          <w:szCs w:val="20"/>
        </w:rPr>
        <w:t xml:space="preserve">you may have </w:t>
      </w:r>
      <w:r w:rsidR="0084415A" w:rsidRPr="002D391F">
        <w:rPr>
          <w:rFonts w:ascii="Arial" w:hAnsi="Arial" w:cs="Arial"/>
          <w:sz w:val="20"/>
          <w:szCs w:val="20"/>
        </w:rPr>
        <w:t xml:space="preserve">or </w:t>
      </w:r>
      <w:r>
        <w:rPr>
          <w:rFonts w:ascii="Arial" w:hAnsi="Arial" w:cs="Arial"/>
          <w:sz w:val="20"/>
          <w:szCs w:val="20"/>
        </w:rPr>
        <w:t>with</w:t>
      </w:r>
      <w:r w:rsidR="0084415A" w:rsidRPr="002D391F">
        <w:rPr>
          <w:rFonts w:ascii="Arial" w:hAnsi="Arial" w:cs="Arial"/>
          <w:sz w:val="20"/>
          <w:szCs w:val="20"/>
        </w:rPr>
        <w:t xml:space="preserve"> further advice </w:t>
      </w:r>
      <w:r w:rsidR="00E92162">
        <w:rPr>
          <w:rFonts w:ascii="Arial" w:hAnsi="Arial" w:cs="Arial"/>
          <w:sz w:val="20"/>
          <w:szCs w:val="20"/>
        </w:rPr>
        <w:t>with regard to</w:t>
      </w:r>
      <w:r w:rsidR="00D63C57" w:rsidRPr="002D391F">
        <w:rPr>
          <w:rFonts w:ascii="Arial" w:hAnsi="Arial" w:cs="Arial"/>
          <w:sz w:val="20"/>
          <w:szCs w:val="20"/>
        </w:rPr>
        <w:t xml:space="preserve"> </w:t>
      </w:r>
      <w:r w:rsidR="00E82623">
        <w:rPr>
          <w:rFonts w:ascii="Arial" w:hAnsi="Arial" w:cs="Arial"/>
          <w:sz w:val="20"/>
          <w:szCs w:val="20"/>
        </w:rPr>
        <w:t>compliance with the new BORR.</w:t>
      </w:r>
      <w:r w:rsidR="00CF63D9">
        <w:rPr>
          <w:rFonts w:ascii="Arial" w:hAnsi="Arial" w:cs="Arial"/>
          <w:sz w:val="20"/>
          <w:szCs w:val="20"/>
        </w:rPr>
        <w:t xml:space="preserve"> </w:t>
      </w:r>
      <w:r w:rsidR="00D63C57" w:rsidRPr="002D391F">
        <w:rPr>
          <w:rFonts w:ascii="Arial" w:hAnsi="Arial" w:cs="Arial"/>
          <w:sz w:val="20"/>
          <w:szCs w:val="20"/>
        </w:rPr>
        <w:t xml:space="preserve"> </w:t>
      </w:r>
      <w:r w:rsidR="00607BF8">
        <w:rPr>
          <w:rFonts w:ascii="Arial" w:hAnsi="Arial" w:cs="Arial"/>
          <w:sz w:val="20"/>
          <w:szCs w:val="20"/>
        </w:rPr>
        <w:br/>
      </w:r>
    </w:p>
    <w:tbl>
      <w:tblPr>
        <w:tblStyle w:val="TableGrid"/>
        <w:tblW w:w="0" w:type="auto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4680"/>
      </w:tblGrid>
      <w:tr w:rsidR="00F31BBB" w:rsidRPr="002D391F" w14:paraId="4551A0E6" w14:textId="77777777" w:rsidTr="009442C5">
        <w:tc>
          <w:tcPr>
            <w:tcW w:w="4860" w:type="dxa"/>
          </w:tcPr>
          <w:p w14:paraId="1968D254" w14:textId="77777777" w:rsidR="00F31BBB" w:rsidRPr="002D391F" w:rsidRDefault="00F31BBB" w:rsidP="009442C5">
            <w:pPr>
              <w:keepNext/>
              <w:keepLines/>
              <w:spacing w:line="259" w:lineRule="auto"/>
              <w:ind w:left="7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391F">
              <w:rPr>
                <w:rFonts w:ascii="Arial" w:hAnsi="Arial" w:cs="Arial"/>
                <w:b/>
                <w:bCs/>
                <w:sz w:val="18"/>
                <w:szCs w:val="18"/>
              </w:rPr>
              <w:t>Gemma Walters</w:t>
            </w:r>
          </w:p>
          <w:p w14:paraId="6559AB11" w14:textId="77777777" w:rsidR="00F31BBB" w:rsidRPr="002D391F" w:rsidRDefault="00F31BBB" w:rsidP="009442C5">
            <w:pPr>
              <w:keepNext/>
              <w:keepLines/>
              <w:spacing w:line="259" w:lineRule="auto"/>
              <w:ind w:left="73"/>
              <w:rPr>
                <w:rFonts w:ascii="Arial" w:hAnsi="Arial" w:cs="Arial"/>
                <w:sz w:val="18"/>
                <w:szCs w:val="18"/>
              </w:rPr>
            </w:pPr>
            <w:r w:rsidRPr="002D391F">
              <w:rPr>
                <w:rFonts w:ascii="Arial" w:hAnsi="Arial" w:cs="Arial"/>
                <w:sz w:val="18"/>
                <w:szCs w:val="18"/>
              </w:rPr>
              <w:t>Senior Associate</w:t>
            </w:r>
          </w:p>
          <w:p w14:paraId="3C04A11D" w14:textId="77777777" w:rsidR="00F31BBB" w:rsidRPr="002D391F" w:rsidRDefault="00F31BBB" w:rsidP="009442C5">
            <w:pPr>
              <w:keepNext/>
              <w:keepLines/>
              <w:spacing w:line="259" w:lineRule="auto"/>
              <w:ind w:left="73"/>
              <w:rPr>
                <w:rFonts w:ascii="Arial" w:hAnsi="Arial" w:cs="Arial"/>
                <w:sz w:val="18"/>
                <w:szCs w:val="18"/>
              </w:rPr>
            </w:pPr>
            <w:r w:rsidRPr="002D391F">
              <w:rPr>
                <w:rFonts w:ascii="Arial" w:hAnsi="Arial" w:cs="Arial"/>
                <w:sz w:val="18"/>
                <w:szCs w:val="18"/>
              </w:rPr>
              <w:t>+1 345 623 2424</w:t>
            </w:r>
          </w:p>
          <w:p w14:paraId="18A5ABA1" w14:textId="77777777" w:rsidR="00F31BBB" w:rsidRPr="002D391F" w:rsidRDefault="006659AC" w:rsidP="009442C5">
            <w:pPr>
              <w:keepNext/>
              <w:keepLines/>
              <w:spacing w:line="259" w:lineRule="auto"/>
              <w:ind w:left="73"/>
              <w:rPr>
                <w:rStyle w:val="Hyperlink"/>
                <w:rFonts w:ascii="Arial" w:hAnsi="Arial" w:cs="Arial"/>
                <w:sz w:val="18"/>
                <w:szCs w:val="18"/>
              </w:rPr>
            </w:pPr>
            <w:hyperlink r:id="rId8" w:history="1">
              <w:r w:rsidR="00F31BBB" w:rsidRPr="002D391F">
                <w:rPr>
                  <w:rStyle w:val="Hyperlink"/>
                  <w:rFonts w:ascii="Arial" w:hAnsi="Arial" w:cs="Arial"/>
                  <w:sz w:val="18"/>
                  <w:szCs w:val="18"/>
                </w:rPr>
                <w:t>gwalters@traversthorpalberga.com</w:t>
              </w:r>
            </w:hyperlink>
          </w:p>
          <w:p w14:paraId="26B60E04" w14:textId="77777777" w:rsidR="00F31BBB" w:rsidRPr="002D391F" w:rsidRDefault="00F31BBB" w:rsidP="009442C5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0" w:type="dxa"/>
          </w:tcPr>
          <w:p w14:paraId="314470B8" w14:textId="77777777" w:rsidR="00F31BBB" w:rsidRPr="002D391F" w:rsidRDefault="00F31BBB" w:rsidP="009442C5">
            <w:pPr>
              <w:keepNext/>
              <w:keepLine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391F">
              <w:rPr>
                <w:rFonts w:ascii="Arial" w:hAnsi="Arial" w:cs="Arial"/>
                <w:b/>
                <w:bCs/>
                <w:sz w:val="18"/>
                <w:szCs w:val="18"/>
              </w:rPr>
              <w:t>Deborah Drummond</w:t>
            </w:r>
          </w:p>
          <w:p w14:paraId="29A4FE57" w14:textId="77777777" w:rsidR="00F31BBB" w:rsidRPr="002D391F" w:rsidRDefault="00F31BBB" w:rsidP="009442C5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 w:rsidRPr="002D391F">
              <w:rPr>
                <w:rFonts w:ascii="Arial" w:hAnsi="Arial" w:cs="Arial"/>
                <w:sz w:val="18"/>
                <w:szCs w:val="18"/>
              </w:rPr>
              <w:t xml:space="preserve">Partner </w:t>
            </w:r>
          </w:p>
          <w:p w14:paraId="39BE0BA0" w14:textId="77777777" w:rsidR="00F31BBB" w:rsidRPr="002D391F" w:rsidRDefault="00F31BBB" w:rsidP="009442C5">
            <w:pPr>
              <w:keepNext/>
              <w:keepLines/>
              <w:rPr>
                <w:rFonts w:ascii="Arial" w:hAnsi="Arial" w:cs="Arial"/>
                <w:color w:val="1F4E79"/>
                <w:sz w:val="18"/>
                <w:szCs w:val="18"/>
              </w:rPr>
            </w:pPr>
            <w:r w:rsidRPr="002D391F">
              <w:rPr>
                <w:rFonts w:ascii="Arial" w:hAnsi="Arial" w:cs="Arial"/>
                <w:sz w:val="18"/>
                <w:szCs w:val="18"/>
              </w:rPr>
              <w:t>+1 345 623 2368</w:t>
            </w:r>
            <w:r w:rsidRPr="002D391F">
              <w:rPr>
                <w:rFonts w:ascii="Arial" w:hAnsi="Arial" w:cs="Arial"/>
                <w:color w:val="1F4E79"/>
                <w:sz w:val="18"/>
                <w:szCs w:val="18"/>
              </w:rPr>
              <w:t xml:space="preserve"> </w:t>
            </w:r>
          </w:p>
          <w:p w14:paraId="4AD0BF8F" w14:textId="77777777" w:rsidR="00F31BBB" w:rsidRPr="002D391F" w:rsidRDefault="006659AC" w:rsidP="009442C5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hyperlink r:id="rId9" w:history="1">
              <w:r w:rsidR="00F31BBB" w:rsidRPr="002D391F">
                <w:rPr>
                  <w:rStyle w:val="Hyperlink"/>
                  <w:rFonts w:ascii="Arial" w:hAnsi="Arial" w:cs="Arial"/>
                  <w:sz w:val="18"/>
                  <w:szCs w:val="18"/>
                </w:rPr>
                <w:t>ddrummond@traverthorpalberga.com</w:t>
              </w:r>
            </w:hyperlink>
            <w:r w:rsidR="00F31BBB" w:rsidRPr="002D391F">
              <w:rPr>
                <w:rFonts w:ascii="Arial" w:hAnsi="Arial" w:cs="Arial"/>
                <w:color w:val="1F4E79"/>
                <w:sz w:val="18"/>
                <w:szCs w:val="18"/>
              </w:rPr>
              <w:t xml:space="preserve"> </w:t>
            </w:r>
          </w:p>
        </w:tc>
      </w:tr>
    </w:tbl>
    <w:p w14:paraId="6CEAF3B9" w14:textId="2FD5B033" w:rsidR="005E37B6" w:rsidRPr="002D391F" w:rsidRDefault="005E37B6" w:rsidP="00F31BBB">
      <w:pPr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sectPr w:rsidR="005E37B6" w:rsidRPr="002D391F" w:rsidSect="00550AD4">
      <w:footerReference w:type="default" r:id="rId10"/>
      <w:headerReference w:type="first" r:id="rId11"/>
      <w:footerReference w:type="first" r:id="rId12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90599" w14:textId="77777777" w:rsidR="00DB67A2" w:rsidRDefault="00DB67A2" w:rsidP="00F36E63">
      <w:pPr>
        <w:spacing w:after="0" w:line="240" w:lineRule="auto"/>
      </w:pPr>
      <w:r>
        <w:separator/>
      </w:r>
    </w:p>
  </w:endnote>
  <w:endnote w:type="continuationSeparator" w:id="0">
    <w:p w14:paraId="1BF84B7A" w14:textId="77777777" w:rsidR="00DB67A2" w:rsidRDefault="00DB67A2" w:rsidP="00F36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C456D" w14:textId="77777777" w:rsidR="002D391F" w:rsidRPr="00CE51F7" w:rsidRDefault="002D391F" w:rsidP="002D391F">
    <w:pPr>
      <w:pStyle w:val="Footer"/>
      <w:jc w:val="both"/>
      <w:rPr>
        <w:rFonts w:ascii="Arial" w:hAnsi="Arial" w:cs="Arial"/>
        <w:i/>
        <w:iCs/>
        <w:sz w:val="16"/>
        <w:szCs w:val="16"/>
      </w:rPr>
    </w:pPr>
    <w:r w:rsidRPr="00DC43CA">
      <w:rPr>
        <w:rFonts w:ascii="Arial" w:hAnsi="Arial" w:cs="Arial"/>
        <w:b/>
        <w:bCs/>
      </w:rPr>
      <w:t>____________________________________________________________________________</w:t>
    </w:r>
    <w:r w:rsidRPr="00CE51F7">
      <w:rPr>
        <w:rFonts w:ascii="Arial" w:hAnsi="Arial" w:cs="Arial"/>
        <w:b/>
        <w:bCs/>
        <w:i/>
        <w:iCs/>
        <w:sz w:val="16"/>
        <w:szCs w:val="16"/>
      </w:rPr>
      <w:t xml:space="preserve">This client memorandum is intended to provide only general information for the clients and professional contacts of Travers Thorp </w:t>
    </w:r>
    <w:proofErr w:type="spellStart"/>
    <w:r w:rsidRPr="00CE51F7">
      <w:rPr>
        <w:rFonts w:ascii="Arial" w:hAnsi="Arial" w:cs="Arial"/>
        <w:b/>
        <w:bCs/>
        <w:i/>
        <w:iCs/>
        <w:sz w:val="16"/>
        <w:szCs w:val="16"/>
      </w:rPr>
      <w:t>Alberga</w:t>
    </w:r>
    <w:proofErr w:type="spellEnd"/>
    <w:r w:rsidRPr="00CE51F7">
      <w:rPr>
        <w:rFonts w:ascii="Arial" w:hAnsi="Arial" w:cs="Arial"/>
        <w:b/>
        <w:bCs/>
        <w:i/>
        <w:iCs/>
        <w:sz w:val="16"/>
        <w:szCs w:val="16"/>
      </w:rPr>
      <w:t xml:space="preserve">. It does not purport to be comprehensive or to render legal advice. Please do not hesitate to contact Travers Thorp </w:t>
    </w:r>
    <w:proofErr w:type="spellStart"/>
    <w:r w:rsidRPr="00CE51F7">
      <w:rPr>
        <w:rFonts w:ascii="Arial" w:hAnsi="Arial" w:cs="Arial"/>
        <w:b/>
        <w:bCs/>
        <w:i/>
        <w:iCs/>
        <w:sz w:val="16"/>
        <w:szCs w:val="16"/>
      </w:rPr>
      <w:t>Alberga</w:t>
    </w:r>
    <w:proofErr w:type="spellEnd"/>
    <w:r w:rsidRPr="00CE51F7">
      <w:rPr>
        <w:rFonts w:ascii="Arial" w:hAnsi="Arial" w:cs="Arial"/>
        <w:b/>
        <w:bCs/>
        <w:i/>
        <w:iCs/>
        <w:sz w:val="16"/>
        <w:szCs w:val="16"/>
      </w:rPr>
      <w:t xml:space="preserve"> at any time if you have any specific questions or would like more detail on any of the points made in this memorandum.</w:t>
    </w:r>
    <w:r w:rsidRPr="00CE51F7">
      <w:rPr>
        <w:rFonts w:ascii="Arial" w:hAnsi="Arial" w:cs="Arial"/>
        <w:i/>
        <w:iCs/>
        <w:sz w:val="16"/>
        <w:szCs w:val="16"/>
      </w:rPr>
      <w:t xml:space="preserve"> </w:t>
    </w:r>
  </w:p>
  <w:p w14:paraId="51929E20" w14:textId="77777777" w:rsidR="002D391F" w:rsidRDefault="006659AC" w:rsidP="002D391F">
    <w:pPr>
      <w:pStyle w:val="Footer"/>
      <w:jc w:val="center"/>
      <w:rPr>
        <w:rFonts w:ascii="Arial" w:hAnsi="Arial" w:cs="Arial"/>
        <w:b/>
        <w:bCs/>
        <w:color w:val="002060"/>
        <w:sz w:val="16"/>
        <w:szCs w:val="16"/>
      </w:rPr>
    </w:pPr>
    <w:hyperlink r:id="rId1" w:history="1">
      <w:r w:rsidR="002D391F" w:rsidRPr="00CE51F7">
        <w:rPr>
          <w:rStyle w:val="Hyperlink"/>
          <w:rFonts w:ascii="Arial" w:hAnsi="Arial" w:cs="Arial"/>
          <w:b/>
          <w:bCs/>
          <w:sz w:val="16"/>
          <w:szCs w:val="16"/>
        </w:rPr>
        <w:t>www.traversthorpalberga.com</w:t>
      </w:r>
    </w:hyperlink>
  </w:p>
  <w:p w14:paraId="36D04FB7" w14:textId="77777777" w:rsidR="00CE51F7" w:rsidRPr="00CE51F7" w:rsidRDefault="00CE51F7" w:rsidP="002D391F">
    <w:pPr>
      <w:pStyle w:val="Footer"/>
      <w:jc w:val="center"/>
      <w:rPr>
        <w:rFonts w:ascii="Arial" w:hAnsi="Arial" w:cs="Arial"/>
        <w:b/>
        <w:bCs/>
        <w:color w:val="002060"/>
        <w:sz w:val="16"/>
        <w:szCs w:val="16"/>
      </w:rPr>
    </w:pPr>
  </w:p>
  <w:p w14:paraId="00C92192" w14:textId="2FE0293A" w:rsidR="002D391F" w:rsidRPr="00CE51F7" w:rsidRDefault="00A44B78" w:rsidP="00CE51F7">
    <w:pPr>
      <w:pStyle w:val="Footer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9789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F71FD9" w14:textId="48B74499" w:rsidR="00A44B78" w:rsidRDefault="00A44B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8AA560" w14:textId="77777777" w:rsidR="00A44B78" w:rsidRDefault="00A44B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EACAF" w14:textId="77777777" w:rsidR="00DB67A2" w:rsidRDefault="00DB67A2" w:rsidP="00F36E63">
      <w:pPr>
        <w:spacing w:after="0" w:line="240" w:lineRule="auto"/>
      </w:pPr>
      <w:r>
        <w:separator/>
      </w:r>
    </w:p>
  </w:footnote>
  <w:footnote w:type="continuationSeparator" w:id="0">
    <w:p w14:paraId="70E14181" w14:textId="77777777" w:rsidR="00DB67A2" w:rsidRDefault="00DB67A2" w:rsidP="00F36E63">
      <w:pPr>
        <w:spacing w:after="0" w:line="240" w:lineRule="auto"/>
      </w:pPr>
      <w:r>
        <w:continuationSeparator/>
      </w:r>
    </w:p>
  </w:footnote>
  <w:footnote w:id="1">
    <w:p w14:paraId="40401332" w14:textId="6600AD8E" w:rsidR="00D011C1" w:rsidRPr="001B5193" w:rsidRDefault="00D011C1">
      <w:pPr>
        <w:pStyle w:val="FootnoteText"/>
        <w:rPr>
          <w:sz w:val="18"/>
          <w:szCs w:val="18"/>
        </w:rPr>
      </w:pPr>
      <w:r w:rsidRPr="001B5193">
        <w:rPr>
          <w:rStyle w:val="FootnoteReference"/>
          <w:sz w:val="18"/>
          <w:szCs w:val="18"/>
        </w:rPr>
        <w:footnoteRef/>
      </w:r>
      <w:r w:rsidRPr="001B5193">
        <w:rPr>
          <w:sz w:val="18"/>
          <w:szCs w:val="18"/>
        </w:rPr>
        <w:t xml:space="preserve"> While the BOTA also now expressly covers foundation companies, they were in fact already covered under the previous beneficial ownership regime.</w:t>
      </w:r>
    </w:p>
  </w:footnote>
  <w:footnote w:id="2">
    <w:p w14:paraId="7E0B5E72" w14:textId="51C90B8F" w:rsidR="00D011C1" w:rsidRPr="001B5193" w:rsidRDefault="00D011C1">
      <w:pPr>
        <w:pStyle w:val="FootnoteText"/>
        <w:rPr>
          <w:sz w:val="18"/>
          <w:szCs w:val="18"/>
        </w:rPr>
      </w:pPr>
      <w:r w:rsidRPr="001B5193">
        <w:rPr>
          <w:rStyle w:val="FootnoteReference"/>
          <w:sz w:val="18"/>
          <w:szCs w:val="18"/>
        </w:rPr>
        <w:footnoteRef/>
      </w:r>
      <w:r w:rsidRPr="001B5193">
        <w:rPr>
          <w:sz w:val="18"/>
          <w:szCs w:val="18"/>
        </w:rPr>
        <w:t xml:space="preserve"> Further, foreign companies are no longer registrable legal entities for the purposes of an in-scope entity’s BOR.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C1DBF" w14:textId="6EECE313" w:rsidR="00A86EA1" w:rsidRDefault="00A86EA1" w:rsidP="00A86EA1">
    <w:pPr>
      <w:pStyle w:val="Header"/>
      <w:ind w:firstLine="720"/>
      <w:jc w:val="right"/>
    </w:pPr>
    <w:r>
      <w:rPr>
        <w:noProof/>
      </w:rPr>
      <w:drawing>
        <wp:inline distT="0" distB="0" distL="0" distR="0" wp14:anchorId="18C0A959" wp14:editId="2130F9D3">
          <wp:extent cx="2512060" cy="43878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206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EC2"/>
    <w:multiLevelType w:val="hybridMultilevel"/>
    <w:tmpl w:val="140C62C4"/>
    <w:lvl w:ilvl="0" w:tplc="C7FE031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F7D01"/>
    <w:multiLevelType w:val="hybridMultilevel"/>
    <w:tmpl w:val="F0BE4E4E"/>
    <w:lvl w:ilvl="0" w:tplc="9CFA9674">
      <w:start w:val="1"/>
      <w:numFmt w:val="decimal"/>
      <w:lvlText w:val="%1."/>
      <w:lvlJc w:val="left"/>
      <w:pPr>
        <w:ind w:left="765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82D0752"/>
    <w:multiLevelType w:val="hybridMultilevel"/>
    <w:tmpl w:val="F0BE4E4E"/>
    <w:lvl w:ilvl="0" w:tplc="FFFFFFFF">
      <w:start w:val="1"/>
      <w:numFmt w:val="decimal"/>
      <w:lvlText w:val="%1."/>
      <w:lvlJc w:val="left"/>
      <w:pPr>
        <w:ind w:left="76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2AF40671"/>
    <w:multiLevelType w:val="hybridMultilevel"/>
    <w:tmpl w:val="08FE3E48"/>
    <w:lvl w:ilvl="0" w:tplc="066EFE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1042A"/>
    <w:multiLevelType w:val="hybridMultilevel"/>
    <w:tmpl w:val="E0F46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30CDA"/>
    <w:multiLevelType w:val="hybridMultilevel"/>
    <w:tmpl w:val="6A48E734"/>
    <w:lvl w:ilvl="0" w:tplc="38B6F8A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635F63"/>
    <w:multiLevelType w:val="multilevel"/>
    <w:tmpl w:val="4BF43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182958"/>
    <w:multiLevelType w:val="hybridMultilevel"/>
    <w:tmpl w:val="D862BC74"/>
    <w:lvl w:ilvl="0" w:tplc="62EA38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6016F"/>
    <w:multiLevelType w:val="hybridMultilevel"/>
    <w:tmpl w:val="140C62C4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E25379"/>
    <w:multiLevelType w:val="hybridMultilevel"/>
    <w:tmpl w:val="F0BE4E4E"/>
    <w:lvl w:ilvl="0" w:tplc="FFFFFFFF">
      <w:start w:val="1"/>
      <w:numFmt w:val="decimal"/>
      <w:lvlText w:val="%1."/>
      <w:lvlJc w:val="left"/>
      <w:pPr>
        <w:ind w:left="76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2014601295">
    <w:abstractNumId w:val="1"/>
  </w:num>
  <w:num w:numId="2" w16cid:durableId="991714591">
    <w:abstractNumId w:val="6"/>
  </w:num>
  <w:num w:numId="3" w16cid:durableId="2018923303">
    <w:abstractNumId w:val="4"/>
  </w:num>
  <w:num w:numId="4" w16cid:durableId="330717237">
    <w:abstractNumId w:val="7"/>
  </w:num>
  <w:num w:numId="5" w16cid:durableId="1245727064">
    <w:abstractNumId w:val="3"/>
  </w:num>
  <w:num w:numId="6" w16cid:durableId="26221031">
    <w:abstractNumId w:val="2"/>
  </w:num>
  <w:num w:numId="7" w16cid:durableId="1502892621">
    <w:abstractNumId w:val="5"/>
  </w:num>
  <w:num w:numId="8" w16cid:durableId="1859271522">
    <w:abstractNumId w:val="0"/>
  </w:num>
  <w:num w:numId="9" w16cid:durableId="455683555">
    <w:abstractNumId w:val="8"/>
  </w:num>
  <w:num w:numId="10" w16cid:durableId="371731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9CC"/>
    <w:rsid w:val="0000438E"/>
    <w:rsid w:val="00004F8C"/>
    <w:rsid w:val="00007F4A"/>
    <w:rsid w:val="00013E5C"/>
    <w:rsid w:val="00015F4B"/>
    <w:rsid w:val="00026EA9"/>
    <w:rsid w:val="00032534"/>
    <w:rsid w:val="00032BE0"/>
    <w:rsid w:val="00043024"/>
    <w:rsid w:val="0004359E"/>
    <w:rsid w:val="00044905"/>
    <w:rsid w:val="000460CD"/>
    <w:rsid w:val="0005236E"/>
    <w:rsid w:val="00052DC2"/>
    <w:rsid w:val="000544CA"/>
    <w:rsid w:val="00071EE8"/>
    <w:rsid w:val="00073B69"/>
    <w:rsid w:val="00075EA1"/>
    <w:rsid w:val="00082CA4"/>
    <w:rsid w:val="000833BE"/>
    <w:rsid w:val="0009022B"/>
    <w:rsid w:val="00091F18"/>
    <w:rsid w:val="0009369B"/>
    <w:rsid w:val="00093EC6"/>
    <w:rsid w:val="0009492B"/>
    <w:rsid w:val="00095642"/>
    <w:rsid w:val="000A1C84"/>
    <w:rsid w:val="000A7F26"/>
    <w:rsid w:val="000B08BD"/>
    <w:rsid w:val="000B1A1A"/>
    <w:rsid w:val="000B34D9"/>
    <w:rsid w:val="000C0F83"/>
    <w:rsid w:val="000C6715"/>
    <w:rsid w:val="000D03BA"/>
    <w:rsid w:val="000D2F20"/>
    <w:rsid w:val="000D3F33"/>
    <w:rsid w:val="000E457F"/>
    <w:rsid w:val="000F4320"/>
    <w:rsid w:val="000F6EDA"/>
    <w:rsid w:val="00102185"/>
    <w:rsid w:val="0010286F"/>
    <w:rsid w:val="0010520A"/>
    <w:rsid w:val="00105513"/>
    <w:rsid w:val="00112643"/>
    <w:rsid w:val="0012003E"/>
    <w:rsid w:val="00120986"/>
    <w:rsid w:val="00123AE7"/>
    <w:rsid w:val="001271C2"/>
    <w:rsid w:val="001315DD"/>
    <w:rsid w:val="00133205"/>
    <w:rsid w:val="00136158"/>
    <w:rsid w:val="001509AD"/>
    <w:rsid w:val="001619AD"/>
    <w:rsid w:val="00164728"/>
    <w:rsid w:val="00164D83"/>
    <w:rsid w:val="0016686A"/>
    <w:rsid w:val="001732EA"/>
    <w:rsid w:val="00181A9D"/>
    <w:rsid w:val="00182DFE"/>
    <w:rsid w:val="0019394F"/>
    <w:rsid w:val="00197E72"/>
    <w:rsid w:val="00197F64"/>
    <w:rsid w:val="001A1F17"/>
    <w:rsid w:val="001A35F7"/>
    <w:rsid w:val="001A37BA"/>
    <w:rsid w:val="001A78F2"/>
    <w:rsid w:val="001B126F"/>
    <w:rsid w:val="001B5193"/>
    <w:rsid w:val="001B797B"/>
    <w:rsid w:val="001B7D17"/>
    <w:rsid w:val="001C13BC"/>
    <w:rsid w:val="001C2AA7"/>
    <w:rsid w:val="001C5F63"/>
    <w:rsid w:val="001C7CEA"/>
    <w:rsid w:val="001E2849"/>
    <w:rsid w:val="001F648D"/>
    <w:rsid w:val="001F7470"/>
    <w:rsid w:val="00207F8B"/>
    <w:rsid w:val="0021086D"/>
    <w:rsid w:val="002129DA"/>
    <w:rsid w:val="00217B7F"/>
    <w:rsid w:val="00217D2C"/>
    <w:rsid w:val="00223443"/>
    <w:rsid w:val="002252C9"/>
    <w:rsid w:val="00231286"/>
    <w:rsid w:val="00231978"/>
    <w:rsid w:val="00237CCD"/>
    <w:rsid w:val="00242E10"/>
    <w:rsid w:val="00245E17"/>
    <w:rsid w:val="00246A40"/>
    <w:rsid w:val="00247970"/>
    <w:rsid w:val="002520B5"/>
    <w:rsid w:val="002638AE"/>
    <w:rsid w:val="00286B9B"/>
    <w:rsid w:val="0028718A"/>
    <w:rsid w:val="00291BAE"/>
    <w:rsid w:val="00297847"/>
    <w:rsid w:val="002A121C"/>
    <w:rsid w:val="002A1AFE"/>
    <w:rsid w:val="002A5E14"/>
    <w:rsid w:val="002B5192"/>
    <w:rsid w:val="002B7D3B"/>
    <w:rsid w:val="002C007F"/>
    <w:rsid w:val="002C0678"/>
    <w:rsid w:val="002C718E"/>
    <w:rsid w:val="002D391F"/>
    <w:rsid w:val="002E1F5E"/>
    <w:rsid w:val="002E3C94"/>
    <w:rsid w:val="002F5800"/>
    <w:rsid w:val="002F6B22"/>
    <w:rsid w:val="002F7345"/>
    <w:rsid w:val="002F75FE"/>
    <w:rsid w:val="002F7D3E"/>
    <w:rsid w:val="003018B7"/>
    <w:rsid w:val="0031215E"/>
    <w:rsid w:val="003276BE"/>
    <w:rsid w:val="003322DB"/>
    <w:rsid w:val="00340B88"/>
    <w:rsid w:val="00342647"/>
    <w:rsid w:val="0034734D"/>
    <w:rsid w:val="00351986"/>
    <w:rsid w:val="00353E2A"/>
    <w:rsid w:val="00360F16"/>
    <w:rsid w:val="0037386C"/>
    <w:rsid w:val="00382DFA"/>
    <w:rsid w:val="003A20BA"/>
    <w:rsid w:val="003A6B8D"/>
    <w:rsid w:val="003B009F"/>
    <w:rsid w:val="003B5B07"/>
    <w:rsid w:val="003B7006"/>
    <w:rsid w:val="003C0A70"/>
    <w:rsid w:val="003C35B9"/>
    <w:rsid w:val="003C47FE"/>
    <w:rsid w:val="003D01EF"/>
    <w:rsid w:val="003D6B18"/>
    <w:rsid w:val="003E058B"/>
    <w:rsid w:val="003E6FD8"/>
    <w:rsid w:val="003F26C2"/>
    <w:rsid w:val="003F3189"/>
    <w:rsid w:val="00412384"/>
    <w:rsid w:val="004134C6"/>
    <w:rsid w:val="00414DCD"/>
    <w:rsid w:val="00417808"/>
    <w:rsid w:val="00423735"/>
    <w:rsid w:val="0042699B"/>
    <w:rsid w:val="00430523"/>
    <w:rsid w:val="00431958"/>
    <w:rsid w:val="004342A9"/>
    <w:rsid w:val="0043449B"/>
    <w:rsid w:val="0044056E"/>
    <w:rsid w:val="00441008"/>
    <w:rsid w:val="0044427D"/>
    <w:rsid w:val="004447C2"/>
    <w:rsid w:val="0045330F"/>
    <w:rsid w:val="0045549F"/>
    <w:rsid w:val="00457FE2"/>
    <w:rsid w:val="00463B9B"/>
    <w:rsid w:val="004653F4"/>
    <w:rsid w:val="00465991"/>
    <w:rsid w:val="00472503"/>
    <w:rsid w:val="00474530"/>
    <w:rsid w:val="0048450D"/>
    <w:rsid w:val="00485E63"/>
    <w:rsid w:val="00486384"/>
    <w:rsid w:val="00490080"/>
    <w:rsid w:val="004914AE"/>
    <w:rsid w:val="004A14FA"/>
    <w:rsid w:val="004A1E8A"/>
    <w:rsid w:val="004A796F"/>
    <w:rsid w:val="004B37AE"/>
    <w:rsid w:val="004B5001"/>
    <w:rsid w:val="004B59DE"/>
    <w:rsid w:val="004C75FE"/>
    <w:rsid w:val="004D077A"/>
    <w:rsid w:val="004D1505"/>
    <w:rsid w:val="004E3C59"/>
    <w:rsid w:val="004E59D9"/>
    <w:rsid w:val="004E5C99"/>
    <w:rsid w:val="004E6711"/>
    <w:rsid w:val="004F2439"/>
    <w:rsid w:val="004F4A15"/>
    <w:rsid w:val="005027D1"/>
    <w:rsid w:val="0050403D"/>
    <w:rsid w:val="0050440C"/>
    <w:rsid w:val="0051211C"/>
    <w:rsid w:val="005136A4"/>
    <w:rsid w:val="0051737D"/>
    <w:rsid w:val="00521D1C"/>
    <w:rsid w:val="0052376A"/>
    <w:rsid w:val="0052389B"/>
    <w:rsid w:val="00530831"/>
    <w:rsid w:val="005329E3"/>
    <w:rsid w:val="00542547"/>
    <w:rsid w:val="00550AD4"/>
    <w:rsid w:val="00551C90"/>
    <w:rsid w:val="0056508E"/>
    <w:rsid w:val="005656B1"/>
    <w:rsid w:val="00570941"/>
    <w:rsid w:val="005717B8"/>
    <w:rsid w:val="0057339D"/>
    <w:rsid w:val="005736E0"/>
    <w:rsid w:val="00573ED0"/>
    <w:rsid w:val="00577C82"/>
    <w:rsid w:val="00581A3C"/>
    <w:rsid w:val="00581A52"/>
    <w:rsid w:val="00582679"/>
    <w:rsid w:val="00586AF8"/>
    <w:rsid w:val="00596FAD"/>
    <w:rsid w:val="005A43DB"/>
    <w:rsid w:val="005B469F"/>
    <w:rsid w:val="005C0953"/>
    <w:rsid w:val="005C2E5E"/>
    <w:rsid w:val="005D376D"/>
    <w:rsid w:val="005E0DB8"/>
    <w:rsid w:val="005E37B6"/>
    <w:rsid w:val="005E7067"/>
    <w:rsid w:val="005F364C"/>
    <w:rsid w:val="005F5751"/>
    <w:rsid w:val="005F5BA6"/>
    <w:rsid w:val="005F7D01"/>
    <w:rsid w:val="00601C56"/>
    <w:rsid w:val="00601C5D"/>
    <w:rsid w:val="00604EB9"/>
    <w:rsid w:val="006064DD"/>
    <w:rsid w:val="00607BF8"/>
    <w:rsid w:val="0062030F"/>
    <w:rsid w:val="00621B43"/>
    <w:rsid w:val="006226F7"/>
    <w:rsid w:val="006403DC"/>
    <w:rsid w:val="0064054F"/>
    <w:rsid w:val="00646DF5"/>
    <w:rsid w:val="006507CB"/>
    <w:rsid w:val="00651CE2"/>
    <w:rsid w:val="0065346E"/>
    <w:rsid w:val="00655AC1"/>
    <w:rsid w:val="00656F72"/>
    <w:rsid w:val="006617CE"/>
    <w:rsid w:val="00663B19"/>
    <w:rsid w:val="006656A6"/>
    <w:rsid w:val="00665E0E"/>
    <w:rsid w:val="00670750"/>
    <w:rsid w:val="00674CB9"/>
    <w:rsid w:val="0067679E"/>
    <w:rsid w:val="00684ABF"/>
    <w:rsid w:val="00693B35"/>
    <w:rsid w:val="00695D92"/>
    <w:rsid w:val="006A0A5D"/>
    <w:rsid w:val="006B3074"/>
    <w:rsid w:val="006B4EAB"/>
    <w:rsid w:val="006B4FD5"/>
    <w:rsid w:val="006D0AFD"/>
    <w:rsid w:val="006D2A9D"/>
    <w:rsid w:val="006D4760"/>
    <w:rsid w:val="006D67D6"/>
    <w:rsid w:val="006D75DE"/>
    <w:rsid w:val="006E64F3"/>
    <w:rsid w:val="006F406A"/>
    <w:rsid w:val="006F4E8C"/>
    <w:rsid w:val="006F5CBB"/>
    <w:rsid w:val="006F5F93"/>
    <w:rsid w:val="006F7324"/>
    <w:rsid w:val="00700FFD"/>
    <w:rsid w:val="007029D9"/>
    <w:rsid w:val="00704FE9"/>
    <w:rsid w:val="00710DAA"/>
    <w:rsid w:val="00713154"/>
    <w:rsid w:val="007321F4"/>
    <w:rsid w:val="00735248"/>
    <w:rsid w:val="00736A4D"/>
    <w:rsid w:val="00740CED"/>
    <w:rsid w:val="007519A7"/>
    <w:rsid w:val="00752D3D"/>
    <w:rsid w:val="007602E0"/>
    <w:rsid w:val="0076071A"/>
    <w:rsid w:val="0076139C"/>
    <w:rsid w:val="00762991"/>
    <w:rsid w:val="00776B98"/>
    <w:rsid w:val="0078349C"/>
    <w:rsid w:val="00790ADB"/>
    <w:rsid w:val="007949E6"/>
    <w:rsid w:val="007976D5"/>
    <w:rsid w:val="007A3205"/>
    <w:rsid w:val="007A4D97"/>
    <w:rsid w:val="007A635D"/>
    <w:rsid w:val="007B26BB"/>
    <w:rsid w:val="007C1E4B"/>
    <w:rsid w:val="007C3BD8"/>
    <w:rsid w:val="007D191B"/>
    <w:rsid w:val="007D5990"/>
    <w:rsid w:val="007E0610"/>
    <w:rsid w:val="007E269B"/>
    <w:rsid w:val="007E40E8"/>
    <w:rsid w:val="007E595F"/>
    <w:rsid w:val="007E7C8C"/>
    <w:rsid w:val="007F0BF3"/>
    <w:rsid w:val="0080540F"/>
    <w:rsid w:val="00805CAC"/>
    <w:rsid w:val="00805E1C"/>
    <w:rsid w:val="00814D57"/>
    <w:rsid w:val="0081736E"/>
    <w:rsid w:val="00821CD8"/>
    <w:rsid w:val="008238C4"/>
    <w:rsid w:val="00823A1C"/>
    <w:rsid w:val="00824468"/>
    <w:rsid w:val="008250C5"/>
    <w:rsid w:val="00825D97"/>
    <w:rsid w:val="0082644A"/>
    <w:rsid w:val="00831DFF"/>
    <w:rsid w:val="00835FA6"/>
    <w:rsid w:val="0084415A"/>
    <w:rsid w:val="008512FF"/>
    <w:rsid w:val="00851ECD"/>
    <w:rsid w:val="0086015D"/>
    <w:rsid w:val="00863A0D"/>
    <w:rsid w:val="00872FDA"/>
    <w:rsid w:val="00875F97"/>
    <w:rsid w:val="00876C27"/>
    <w:rsid w:val="00880D80"/>
    <w:rsid w:val="008820E2"/>
    <w:rsid w:val="0088338C"/>
    <w:rsid w:val="0088467B"/>
    <w:rsid w:val="00885B26"/>
    <w:rsid w:val="00886F2C"/>
    <w:rsid w:val="00887537"/>
    <w:rsid w:val="00887ED9"/>
    <w:rsid w:val="00890370"/>
    <w:rsid w:val="0089170C"/>
    <w:rsid w:val="008939D0"/>
    <w:rsid w:val="008952AB"/>
    <w:rsid w:val="00897C9F"/>
    <w:rsid w:val="008A0A19"/>
    <w:rsid w:val="008A2EC4"/>
    <w:rsid w:val="008A655E"/>
    <w:rsid w:val="008B16AB"/>
    <w:rsid w:val="008B486F"/>
    <w:rsid w:val="008C0DB5"/>
    <w:rsid w:val="008C3C0A"/>
    <w:rsid w:val="008C6552"/>
    <w:rsid w:val="008C7057"/>
    <w:rsid w:val="008D0021"/>
    <w:rsid w:val="008D3952"/>
    <w:rsid w:val="008F2B41"/>
    <w:rsid w:val="009026E0"/>
    <w:rsid w:val="0090380F"/>
    <w:rsid w:val="00906D1E"/>
    <w:rsid w:val="00911680"/>
    <w:rsid w:val="00920EDE"/>
    <w:rsid w:val="0093140D"/>
    <w:rsid w:val="00932AAF"/>
    <w:rsid w:val="00935B62"/>
    <w:rsid w:val="0094198F"/>
    <w:rsid w:val="009447BC"/>
    <w:rsid w:val="00951E50"/>
    <w:rsid w:val="00955078"/>
    <w:rsid w:val="00962087"/>
    <w:rsid w:val="00964787"/>
    <w:rsid w:val="009669C6"/>
    <w:rsid w:val="009702DF"/>
    <w:rsid w:val="00980EB0"/>
    <w:rsid w:val="009849D1"/>
    <w:rsid w:val="00994839"/>
    <w:rsid w:val="009A4E55"/>
    <w:rsid w:val="009A63C4"/>
    <w:rsid w:val="009B1C02"/>
    <w:rsid w:val="009B3DB2"/>
    <w:rsid w:val="009B514D"/>
    <w:rsid w:val="009B53E8"/>
    <w:rsid w:val="009C5049"/>
    <w:rsid w:val="009D0792"/>
    <w:rsid w:val="009E5940"/>
    <w:rsid w:val="009F39E3"/>
    <w:rsid w:val="009F6CAB"/>
    <w:rsid w:val="009F764F"/>
    <w:rsid w:val="00A01864"/>
    <w:rsid w:val="00A032EF"/>
    <w:rsid w:val="00A06E25"/>
    <w:rsid w:val="00A10B39"/>
    <w:rsid w:val="00A11B85"/>
    <w:rsid w:val="00A15377"/>
    <w:rsid w:val="00A15EAB"/>
    <w:rsid w:val="00A1708F"/>
    <w:rsid w:val="00A238C7"/>
    <w:rsid w:val="00A253AD"/>
    <w:rsid w:val="00A3216C"/>
    <w:rsid w:val="00A323D9"/>
    <w:rsid w:val="00A36699"/>
    <w:rsid w:val="00A368F5"/>
    <w:rsid w:val="00A36CEE"/>
    <w:rsid w:val="00A448F3"/>
    <w:rsid w:val="00A44B78"/>
    <w:rsid w:val="00A51AE5"/>
    <w:rsid w:val="00A534E8"/>
    <w:rsid w:val="00A53C8D"/>
    <w:rsid w:val="00A568F5"/>
    <w:rsid w:val="00A62298"/>
    <w:rsid w:val="00A65BD0"/>
    <w:rsid w:val="00A724C5"/>
    <w:rsid w:val="00A73584"/>
    <w:rsid w:val="00A745DB"/>
    <w:rsid w:val="00A747CB"/>
    <w:rsid w:val="00A74A11"/>
    <w:rsid w:val="00A82C0B"/>
    <w:rsid w:val="00A86EA1"/>
    <w:rsid w:val="00A95EC8"/>
    <w:rsid w:val="00A9602E"/>
    <w:rsid w:val="00AA259D"/>
    <w:rsid w:val="00AA7CD5"/>
    <w:rsid w:val="00AB2A19"/>
    <w:rsid w:val="00AB7B53"/>
    <w:rsid w:val="00AC06CA"/>
    <w:rsid w:val="00AC0F48"/>
    <w:rsid w:val="00AC6AA8"/>
    <w:rsid w:val="00AD2C52"/>
    <w:rsid w:val="00AD5084"/>
    <w:rsid w:val="00AD6803"/>
    <w:rsid w:val="00AE041C"/>
    <w:rsid w:val="00AE24AB"/>
    <w:rsid w:val="00AE4350"/>
    <w:rsid w:val="00AF32AA"/>
    <w:rsid w:val="00AF537C"/>
    <w:rsid w:val="00AF620E"/>
    <w:rsid w:val="00AF6720"/>
    <w:rsid w:val="00B02EEF"/>
    <w:rsid w:val="00B03796"/>
    <w:rsid w:val="00B06D9A"/>
    <w:rsid w:val="00B11E8A"/>
    <w:rsid w:val="00B1403B"/>
    <w:rsid w:val="00B17E34"/>
    <w:rsid w:val="00B23028"/>
    <w:rsid w:val="00B2397E"/>
    <w:rsid w:val="00B25A0B"/>
    <w:rsid w:val="00B301BB"/>
    <w:rsid w:val="00B40276"/>
    <w:rsid w:val="00B40B3E"/>
    <w:rsid w:val="00B44070"/>
    <w:rsid w:val="00B4530E"/>
    <w:rsid w:val="00B50122"/>
    <w:rsid w:val="00B508D3"/>
    <w:rsid w:val="00B5407B"/>
    <w:rsid w:val="00B60A5B"/>
    <w:rsid w:val="00B630A3"/>
    <w:rsid w:val="00B650F3"/>
    <w:rsid w:val="00B66F76"/>
    <w:rsid w:val="00B74C28"/>
    <w:rsid w:val="00B74D14"/>
    <w:rsid w:val="00B8108F"/>
    <w:rsid w:val="00B81746"/>
    <w:rsid w:val="00B81A4F"/>
    <w:rsid w:val="00B86997"/>
    <w:rsid w:val="00B9222E"/>
    <w:rsid w:val="00B92AD5"/>
    <w:rsid w:val="00B93C30"/>
    <w:rsid w:val="00BB49BD"/>
    <w:rsid w:val="00BC100F"/>
    <w:rsid w:val="00BC530E"/>
    <w:rsid w:val="00BC5A89"/>
    <w:rsid w:val="00BD39BA"/>
    <w:rsid w:val="00BD5B94"/>
    <w:rsid w:val="00BD671D"/>
    <w:rsid w:val="00BD757A"/>
    <w:rsid w:val="00BD7DB9"/>
    <w:rsid w:val="00BF418F"/>
    <w:rsid w:val="00C03A56"/>
    <w:rsid w:val="00C0686B"/>
    <w:rsid w:val="00C104DA"/>
    <w:rsid w:val="00C122D4"/>
    <w:rsid w:val="00C2798A"/>
    <w:rsid w:val="00C36AF9"/>
    <w:rsid w:val="00C435C6"/>
    <w:rsid w:val="00C460A4"/>
    <w:rsid w:val="00C64A67"/>
    <w:rsid w:val="00C77024"/>
    <w:rsid w:val="00C77432"/>
    <w:rsid w:val="00C941DB"/>
    <w:rsid w:val="00C94F96"/>
    <w:rsid w:val="00C9570D"/>
    <w:rsid w:val="00CA4E2B"/>
    <w:rsid w:val="00CA7117"/>
    <w:rsid w:val="00CB2960"/>
    <w:rsid w:val="00CB5294"/>
    <w:rsid w:val="00CB607B"/>
    <w:rsid w:val="00CB7809"/>
    <w:rsid w:val="00CD6DB0"/>
    <w:rsid w:val="00CE3D87"/>
    <w:rsid w:val="00CE51F7"/>
    <w:rsid w:val="00CF63D9"/>
    <w:rsid w:val="00D011C1"/>
    <w:rsid w:val="00D0542A"/>
    <w:rsid w:val="00D10DDC"/>
    <w:rsid w:val="00D1152C"/>
    <w:rsid w:val="00D13A93"/>
    <w:rsid w:val="00D144A8"/>
    <w:rsid w:val="00D15B0C"/>
    <w:rsid w:val="00D20831"/>
    <w:rsid w:val="00D22A1C"/>
    <w:rsid w:val="00D32223"/>
    <w:rsid w:val="00D33671"/>
    <w:rsid w:val="00D3556B"/>
    <w:rsid w:val="00D36405"/>
    <w:rsid w:val="00D41432"/>
    <w:rsid w:val="00D459CC"/>
    <w:rsid w:val="00D46F99"/>
    <w:rsid w:val="00D47D17"/>
    <w:rsid w:val="00D5242C"/>
    <w:rsid w:val="00D53A3F"/>
    <w:rsid w:val="00D55349"/>
    <w:rsid w:val="00D565B5"/>
    <w:rsid w:val="00D5723E"/>
    <w:rsid w:val="00D577EA"/>
    <w:rsid w:val="00D57C33"/>
    <w:rsid w:val="00D631F2"/>
    <w:rsid w:val="00D63C57"/>
    <w:rsid w:val="00D666F6"/>
    <w:rsid w:val="00D67E9C"/>
    <w:rsid w:val="00D73782"/>
    <w:rsid w:val="00D8218A"/>
    <w:rsid w:val="00D82B45"/>
    <w:rsid w:val="00D82C88"/>
    <w:rsid w:val="00D837FC"/>
    <w:rsid w:val="00D861BD"/>
    <w:rsid w:val="00D906F6"/>
    <w:rsid w:val="00D93A19"/>
    <w:rsid w:val="00D95EAC"/>
    <w:rsid w:val="00DA2022"/>
    <w:rsid w:val="00DA42BE"/>
    <w:rsid w:val="00DA6E22"/>
    <w:rsid w:val="00DB49EC"/>
    <w:rsid w:val="00DB67A2"/>
    <w:rsid w:val="00DC26CF"/>
    <w:rsid w:val="00DC2FEE"/>
    <w:rsid w:val="00DC43CA"/>
    <w:rsid w:val="00DD5243"/>
    <w:rsid w:val="00DD71FA"/>
    <w:rsid w:val="00DE0A38"/>
    <w:rsid w:val="00DE4726"/>
    <w:rsid w:val="00DE4EF9"/>
    <w:rsid w:val="00DF038B"/>
    <w:rsid w:val="00DF1104"/>
    <w:rsid w:val="00E060C5"/>
    <w:rsid w:val="00E10999"/>
    <w:rsid w:val="00E32CF1"/>
    <w:rsid w:val="00E432BE"/>
    <w:rsid w:val="00E4703B"/>
    <w:rsid w:val="00E538B5"/>
    <w:rsid w:val="00E541FE"/>
    <w:rsid w:val="00E64DEF"/>
    <w:rsid w:val="00E767C4"/>
    <w:rsid w:val="00E77F03"/>
    <w:rsid w:val="00E817A6"/>
    <w:rsid w:val="00E818BE"/>
    <w:rsid w:val="00E82623"/>
    <w:rsid w:val="00E8265B"/>
    <w:rsid w:val="00E92162"/>
    <w:rsid w:val="00E937A8"/>
    <w:rsid w:val="00E968E7"/>
    <w:rsid w:val="00EA11A3"/>
    <w:rsid w:val="00EA2834"/>
    <w:rsid w:val="00EA2BCB"/>
    <w:rsid w:val="00EA777F"/>
    <w:rsid w:val="00EB07E9"/>
    <w:rsid w:val="00EB2D18"/>
    <w:rsid w:val="00EB6CCA"/>
    <w:rsid w:val="00EC3A44"/>
    <w:rsid w:val="00EC76F7"/>
    <w:rsid w:val="00ED0A36"/>
    <w:rsid w:val="00ED52E9"/>
    <w:rsid w:val="00EE27FF"/>
    <w:rsid w:val="00EE2F32"/>
    <w:rsid w:val="00EE3DB7"/>
    <w:rsid w:val="00EE4472"/>
    <w:rsid w:val="00EE7125"/>
    <w:rsid w:val="00EE7728"/>
    <w:rsid w:val="00EF2E1B"/>
    <w:rsid w:val="00EF5C54"/>
    <w:rsid w:val="00F176A4"/>
    <w:rsid w:val="00F251FA"/>
    <w:rsid w:val="00F25B84"/>
    <w:rsid w:val="00F2671E"/>
    <w:rsid w:val="00F27022"/>
    <w:rsid w:val="00F272EB"/>
    <w:rsid w:val="00F31BBB"/>
    <w:rsid w:val="00F329D3"/>
    <w:rsid w:val="00F36E63"/>
    <w:rsid w:val="00F37883"/>
    <w:rsid w:val="00F4636B"/>
    <w:rsid w:val="00F512DC"/>
    <w:rsid w:val="00F5196B"/>
    <w:rsid w:val="00F5390F"/>
    <w:rsid w:val="00F578CB"/>
    <w:rsid w:val="00F601F2"/>
    <w:rsid w:val="00F663B7"/>
    <w:rsid w:val="00F80526"/>
    <w:rsid w:val="00F80873"/>
    <w:rsid w:val="00F84D14"/>
    <w:rsid w:val="00F864B9"/>
    <w:rsid w:val="00F866BE"/>
    <w:rsid w:val="00F90923"/>
    <w:rsid w:val="00F94948"/>
    <w:rsid w:val="00FA0DD0"/>
    <w:rsid w:val="00FA27B4"/>
    <w:rsid w:val="00FA5C8F"/>
    <w:rsid w:val="00FA6C79"/>
    <w:rsid w:val="00FC0F36"/>
    <w:rsid w:val="00FC3324"/>
    <w:rsid w:val="00FC5325"/>
    <w:rsid w:val="00FC683E"/>
    <w:rsid w:val="00FD6570"/>
    <w:rsid w:val="00FF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F8A3C"/>
  <w15:chartTrackingRefBased/>
  <w15:docId w15:val="{F0C70063-5289-420E-AE83-FAE11DDF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B5294"/>
    <w:rPr>
      <w:b/>
      <w:bCs/>
    </w:rPr>
  </w:style>
  <w:style w:type="character" w:styleId="Hyperlink">
    <w:name w:val="Hyperlink"/>
    <w:basedOn w:val="DefaultParagraphFont"/>
    <w:uiPriority w:val="99"/>
    <w:unhideWhenUsed/>
    <w:rsid w:val="00CB529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0286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D71F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1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3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E63"/>
  </w:style>
  <w:style w:type="paragraph" w:styleId="Footer">
    <w:name w:val="footer"/>
    <w:basedOn w:val="Normal"/>
    <w:link w:val="FooterChar"/>
    <w:uiPriority w:val="99"/>
    <w:unhideWhenUsed/>
    <w:rsid w:val="00F3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E63"/>
  </w:style>
  <w:style w:type="character" w:styleId="UnresolvedMention">
    <w:name w:val="Unresolved Mention"/>
    <w:basedOn w:val="DefaultParagraphFont"/>
    <w:uiPriority w:val="99"/>
    <w:semiHidden/>
    <w:unhideWhenUsed/>
    <w:rsid w:val="00AF32A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63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rsid w:val="001F648D"/>
    <w:pPr>
      <w:widowControl w:val="0"/>
      <w:autoSpaceDE w:val="0"/>
      <w:autoSpaceDN w:val="0"/>
      <w:spacing w:after="0" w:line="240" w:lineRule="auto"/>
      <w:ind w:left="129"/>
    </w:pPr>
    <w:rPr>
      <w:rFonts w:ascii="Arial" w:eastAsia="Arial" w:hAnsi="Arial" w:cs="Arial"/>
      <w:b/>
      <w:bCs/>
      <w:kern w:val="0"/>
      <w:sz w:val="28"/>
      <w:szCs w:val="28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1F648D"/>
    <w:rPr>
      <w:rFonts w:ascii="Arial" w:eastAsia="Arial" w:hAnsi="Arial" w:cs="Arial"/>
      <w:b/>
      <w:bCs/>
      <w:kern w:val="0"/>
      <w:sz w:val="28"/>
      <w:szCs w:val="28"/>
      <w14:ligatures w14:val="none"/>
    </w:rPr>
  </w:style>
  <w:style w:type="paragraph" w:styleId="Revision">
    <w:name w:val="Revision"/>
    <w:hidden/>
    <w:uiPriority w:val="99"/>
    <w:semiHidden/>
    <w:rsid w:val="00D577EA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75EA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5E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5E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8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walters@traversthorpalberga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drummond@traverthorpalberga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aversthorpalberg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44F01-334E-41E9-9B3E-A81AF0F07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Walters</dc:creator>
  <cp:keywords/>
  <dc:description/>
  <cp:lastModifiedBy>Gemma Walters</cp:lastModifiedBy>
  <cp:revision>2</cp:revision>
  <cp:lastPrinted>2024-08-02T23:58:00Z</cp:lastPrinted>
  <dcterms:created xsi:type="dcterms:W3CDTF">2024-08-14T15:12:00Z</dcterms:created>
  <dcterms:modified xsi:type="dcterms:W3CDTF">2024-08-14T15:12:00Z</dcterms:modified>
</cp:coreProperties>
</file>